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31"/>
        <w:tblW w:w="5158" w:type="pct"/>
        <w:tblLayout w:type="fixed"/>
        <w:tblLook w:val="04A0" w:firstRow="1" w:lastRow="0" w:firstColumn="1" w:lastColumn="0" w:noHBand="0" w:noVBand="1"/>
      </w:tblPr>
      <w:tblGrid>
        <w:gridCol w:w="9311"/>
      </w:tblGrid>
      <w:tr w:rsidR="00322D61" w14:paraId="393B4F09" w14:textId="77777777" w:rsidTr="00885F60">
        <w:tc>
          <w:tcPr>
            <w:tcW w:w="5000" w:type="pct"/>
          </w:tcPr>
          <w:tbl>
            <w:tblPr>
              <w:tblpPr w:leftFromText="141" w:rightFromText="141" w:vertAnchor="text" w:horzAnchor="page" w:tblpXSpec="center" w:tblpY="-356"/>
              <w:tblOverlap w:val="never"/>
              <w:tblW w:w="9776" w:type="dxa"/>
              <w:tblLayout w:type="fixed"/>
              <w:tblLook w:val="04A0" w:firstRow="1" w:lastRow="0" w:firstColumn="1" w:lastColumn="0" w:noHBand="0" w:noVBand="1"/>
            </w:tblPr>
            <w:tblGrid>
              <w:gridCol w:w="2406"/>
              <w:gridCol w:w="5102"/>
              <w:gridCol w:w="2268"/>
            </w:tblGrid>
            <w:tr w:rsidR="00322D61" w14:paraId="5C2A808C" w14:textId="77777777" w:rsidTr="00885F60">
              <w:trPr>
                <w:trHeight w:val="2124"/>
              </w:trPr>
              <w:tc>
                <w:tcPr>
                  <w:tcW w:w="2406" w:type="dxa"/>
                  <w:shd w:val="clear" w:color="auto" w:fill="auto"/>
                </w:tcPr>
                <w:p w14:paraId="6ABC1596" w14:textId="77777777" w:rsidR="00322D61" w:rsidRDefault="00322D61" w:rsidP="00322D61">
                  <w:pPr>
                    <w:spacing w:after="0" w:line="240" w:lineRule="auto"/>
                    <w:jc w:val="both"/>
                    <w:rPr>
                      <w:sz w:val="26"/>
                      <w:szCs w:val="26"/>
                    </w:rPr>
                  </w:pPr>
                  <w:r>
                    <w:rPr>
                      <w:rFonts w:cs="Arial"/>
                      <w:noProof/>
                      <w:sz w:val="26"/>
                      <w:szCs w:val="26"/>
                    </w:rPr>
                    <w:drawing>
                      <wp:inline distT="0" distB="0" distL="0" distR="0" wp14:anchorId="36226129" wp14:editId="5FF640C1">
                        <wp:extent cx="1200150" cy="1078230"/>
                        <wp:effectExtent l="0" t="0" r="0" b="762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0150" cy="1078230"/>
                                </a:xfrm>
                                <a:prstGeom prst="rect">
                                  <a:avLst/>
                                </a:prstGeom>
                                <a:noFill/>
                                <a:ln>
                                  <a:noFill/>
                                </a:ln>
                              </pic:spPr>
                            </pic:pic>
                          </a:graphicData>
                        </a:graphic>
                      </wp:inline>
                    </w:drawing>
                  </w:r>
                </w:p>
                <w:p w14:paraId="4C95151A" w14:textId="77777777" w:rsidR="00322D61" w:rsidRDefault="00322D61" w:rsidP="00322D61">
                  <w:pPr>
                    <w:spacing w:after="0" w:line="240" w:lineRule="auto"/>
                    <w:jc w:val="both"/>
                    <w:rPr>
                      <w:sz w:val="26"/>
                      <w:szCs w:val="26"/>
                    </w:rPr>
                  </w:pPr>
                </w:p>
                <w:p w14:paraId="0E5758B8" w14:textId="77777777" w:rsidR="00322D61" w:rsidRDefault="00322D61" w:rsidP="00322D61">
                  <w:pPr>
                    <w:spacing w:after="0" w:line="240" w:lineRule="auto"/>
                    <w:jc w:val="both"/>
                    <w:rPr>
                      <w:sz w:val="26"/>
                      <w:szCs w:val="26"/>
                    </w:rPr>
                  </w:pPr>
                </w:p>
              </w:tc>
              <w:tc>
                <w:tcPr>
                  <w:tcW w:w="5102" w:type="dxa"/>
                  <w:shd w:val="clear" w:color="auto" w:fill="auto"/>
                </w:tcPr>
                <w:p w14:paraId="47F34F41" w14:textId="77777777" w:rsidR="00322D61" w:rsidRDefault="00322D61" w:rsidP="00322D61">
                  <w:pPr>
                    <w:spacing w:after="0" w:line="240" w:lineRule="auto"/>
                    <w:jc w:val="both"/>
                    <w:rPr>
                      <w:sz w:val="26"/>
                      <w:szCs w:val="26"/>
                    </w:rPr>
                  </w:pPr>
                  <w:r>
                    <w:rPr>
                      <w:rFonts w:cs="Arial"/>
                      <w:b/>
                      <w:noProof/>
                      <w:sz w:val="26"/>
                      <w:szCs w:val="26"/>
                    </w:rPr>
                    <w:drawing>
                      <wp:inline distT="0" distB="0" distL="0" distR="0" wp14:anchorId="051F044F" wp14:editId="11F4F629">
                        <wp:extent cx="1522730" cy="788670"/>
                        <wp:effectExtent l="0" t="0" r="127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2890" cy="788670"/>
                                </a:xfrm>
                                <a:prstGeom prst="rect">
                                  <a:avLst/>
                                </a:prstGeom>
                                <a:noFill/>
                                <a:ln>
                                  <a:noFill/>
                                </a:ln>
                              </pic:spPr>
                            </pic:pic>
                          </a:graphicData>
                        </a:graphic>
                      </wp:inline>
                    </w:drawing>
                  </w:r>
                  <w:r>
                    <w:rPr>
                      <w:noProof/>
                      <w:sz w:val="26"/>
                      <w:szCs w:val="26"/>
                    </w:rPr>
                    <w:drawing>
                      <wp:inline distT="0" distB="0" distL="0" distR="0" wp14:anchorId="7D9443DB" wp14:editId="3BFC14E8">
                        <wp:extent cx="1508760" cy="656590"/>
                        <wp:effectExtent l="0" t="0" r="15240" b="1016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0"/>
                                <a:stretch>
                                  <a:fillRect/>
                                </a:stretch>
                              </pic:blipFill>
                              <pic:spPr>
                                <a:xfrm>
                                  <a:off x="0" y="0"/>
                                  <a:ext cx="1521687" cy="656590"/>
                                </a:xfrm>
                                <a:prstGeom prst="rect">
                                  <a:avLst/>
                                </a:prstGeom>
                                <a:ln>
                                  <a:noFill/>
                                </a:ln>
                              </pic:spPr>
                            </pic:pic>
                          </a:graphicData>
                        </a:graphic>
                      </wp:inline>
                    </w:drawing>
                  </w:r>
                </w:p>
              </w:tc>
              <w:tc>
                <w:tcPr>
                  <w:tcW w:w="2268" w:type="dxa"/>
                  <w:shd w:val="clear" w:color="auto" w:fill="auto"/>
                </w:tcPr>
                <w:p w14:paraId="5C34443B" w14:textId="77777777" w:rsidR="00322D61" w:rsidRDefault="00322D61" w:rsidP="00322D61">
                  <w:pPr>
                    <w:spacing w:after="0" w:line="240" w:lineRule="auto"/>
                    <w:jc w:val="both"/>
                    <w:rPr>
                      <w:sz w:val="26"/>
                      <w:szCs w:val="26"/>
                    </w:rPr>
                  </w:pPr>
                  <w:r>
                    <w:rPr>
                      <w:noProof/>
                      <w:sz w:val="26"/>
                      <w:szCs w:val="26"/>
                    </w:rPr>
                    <w:drawing>
                      <wp:inline distT="0" distB="0" distL="0" distR="0" wp14:anchorId="50BAD4EF" wp14:editId="2A87A7B2">
                        <wp:extent cx="1247775" cy="933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933450"/>
                                </a:xfrm>
                                <a:prstGeom prst="rect">
                                  <a:avLst/>
                                </a:prstGeom>
                                <a:noFill/>
                                <a:ln>
                                  <a:noFill/>
                                </a:ln>
                              </pic:spPr>
                            </pic:pic>
                          </a:graphicData>
                        </a:graphic>
                      </wp:inline>
                    </w:drawing>
                  </w:r>
                </w:p>
              </w:tc>
            </w:tr>
          </w:tbl>
          <w:p w14:paraId="65925106" w14:textId="77777777" w:rsidR="00322D61" w:rsidRDefault="00322D61" w:rsidP="00322D61">
            <w:pPr>
              <w:spacing w:after="0" w:line="240" w:lineRule="auto"/>
              <w:ind w:right="1"/>
              <w:jc w:val="both"/>
              <w:rPr>
                <w:rFonts w:cs="Arial"/>
                <w:b/>
                <w:sz w:val="26"/>
                <w:szCs w:val="26"/>
              </w:rPr>
            </w:pPr>
          </w:p>
        </w:tc>
      </w:tr>
    </w:tbl>
    <w:p w14:paraId="3353EFC7" w14:textId="77777777" w:rsidR="00322D61" w:rsidRDefault="00322D61" w:rsidP="00322D61">
      <w:pPr>
        <w:spacing w:line="240" w:lineRule="auto"/>
        <w:jc w:val="both"/>
        <w:rPr>
          <w:sz w:val="26"/>
          <w:szCs w:val="26"/>
        </w:rPr>
      </w:pPr>
    </w:p>
    <w:p w14:paraId="14987E7A" w14:textId="77777777" w:rsidR="005F5FFD" w:rsidRPr="00E174C6" w:rsidRDefault="005F5FFD" w:rsidP="00E174C6">
      <w:pPr>
        <w:pStyle w:val="Sansinterligne"/>
        <w:spacing w:before="240" w:line="276" w:lineRule="auto"/>
        <w:jc w:val="both"/>
        <w:rPr>
          <w:rFonts w:ascii="Times New Roman" w:hAnsi="Times New Roman"/>
          <w:b/>
          <w:bCs/>
          <w:color w:val="222222"/>
          <w:sz w:val="24"/>
          <w:szCs w:val="24"/>
        </w:rPr>
      </w:pPr>
    </w:p>
    <w:p w14:paraId="3938D8E0" w14:textId="77777777" w:rsidR="005F5FFD" w:rsidRPr="00E174C6" w:rsidRDefault="001D6A69" w:rsidP="00E174C6">
      <w:pPr>
        <w:spacing w:line="276" w:lineRule="auto"/>
        <w:jc w:val="both"/>
        <w:rPr>
          <w:rFonts w:ascii="Times New Roman" w:hAnsi="Times New Roman"/>
          <w:b/>
          <w:bCs/>
          <w:i/>
          <w:color w:val="222222"/>
          <w:sz w:val="24"/>
          <w:szCs w:val="24"/>
        </w:rPr>
      </w:pPr>
      <w:r w:rsidRPr="00E174C6">
        <w:rPr>
          <w:rFonts w:ascii="Times New Roman" w:hAnsi="Times New Roman"/>
          <w:b/>
          <w:bCs/>
          <w:i/>
          <w:noProof/>
          <w:color w:val="222222"/>
          <w:sz w:val="24"/>
          <w:szCs w:val="24"/>
        </w:rPr>
        <mc:AlternateContent>
          <mc:Choice Requires="wps">
            <w:drawing>
              <wp:anchor distT="0" distB="0" distL="114300" distR="114300" simplePos="0" relativeHeight="251660288" behindDoc="0" locked="0" layoutInCell="1" allowOverlap="1" wp14:anchorId="3C1A9DE0" wp14:editId="38004FF8">
                <wp:simplePos x="0" y="0"/>
                <wp:positionH relativeFrom="margin">
                  <wp:align>right</wp:align>
                </wp:positionH>
                <wp:positionV relativeFrom="paragraph">
                  <wp:posOffset>4859</wp:posOffset>
                </wp:positionV>
                <wp:extent cx="5716988" cy="1619250"/>
                <wp:effectExtent l="0" t="0" r="17145" b="19050"/>
                <wp:wrapNone/>
                <wp:docPr id="8" name="Zone de texte 8"/>
                <wp:cNvGraphicFramePr/>
                <a:graphic xmlns:a="http://schemas.openxmlformats.org/drawingml/2006/main">
                  <a:graphicData uri="http://schemas.microsoft.com/office/word/2010/wordprocessingShape">
                    <wps:wsp>
                      <wps:cNvSpPr txBox="1"/>
                      <wps:spPr>
                        <a:xfrm>
                          <a:off x="0" y="0"/>
                          <a:ext cx="5716988" cy="1619250"/>
                        </a:xfrm>
                        <a:prstGeom prst="rect">
                          <a:avLst/>
                        </a:prstGeom>
                        <a:blipFill>
                          <a:blip r:embed="rId12"/>
                          <a:tile tx="0" ty="0" sx="100000" sy="100000" flip="none" algn="tl"/>
                        </a:blipFill>
                        <a:ln/>
                      </wps:spPr>
                      <wps:style>
                        <a:lnRef idx="2">
                          <a:schemeClr val="dk1"/>
                        </a:lnRef>
                        <a:fillRef idx="1">
                          <a:schemeClr val="lt1"/>
                        </a:fillRef>
                        <a:effectRef idx="0">
                          <a:schemeClr val="dk1"/>
                        </a:effectRef>
                        <a:fontRef idx="minor">
                          <a:schemeClr val="dk1"/>
                        </a:fontRef>
                      </wps:style>
                      <wps:txbx>
                        <w:txbxContent>
                          <w:p w14:paraId="50F415C9"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885F60" w:rsidRPr="007D2F0F"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A9DE0" id="_x0000_t202" coordsize="21600,21600" o:spt="202" path="m,l,21600r21600,l21600,xe">
                <v:stroke joinstyle="miter"/>
                <v:path gradientshapeok="t" o:connecttype="rect"/>
              </v:shapetype>
              <v:shape id="Zone de texte 8" o:spid="_x0000_s1026" type="#_x0000_t202" style="position:absolute;left:0;text-align:left;margin-left:398.95pt;margin-top:.4pt;width:450.15pt;height:1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" strokecolor="black [3200]" strokeweight="1pt">
                <v:fill r:id="rId13" o:title="" recolor="t" rotate="t" type="tile"/>
                <v:textbox>
                  <w:txbxContent>
                    <w:p w14:paraId="50F415C9"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885F60" w:rsidRPr="007D2F0F"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v:textbox>
                <w10:wrap anchorx="margin"/>
              </v:shape>
            </w:pict>
          </mc:Fallback>
        </mc:AlternateContent>
      </w:r>
    </w:p>
    <w:p w14:paraId="54E4D8F3" w14:textId="77777777" w:rsidR="005F5FFD" w:rsidRPr="00E174C6" w:rsidRDefault="0012707F" w:rsidP="00E174C6">
      <w:pPr>
        <w:tabs>
          <w:tab w:val="left" w:pos="1170"/>
        </w:tabs>
        <w:spacing w:line="276" w:lineRule="auto"/>
        <w:jc w:val="both"/>
        <w:rPr>
          <w:rFonts w:ascii="Times New Roman" w:hAnsi="Times New Roman"/>
          <w:sz w:val="24"/>
          <w:szCs w:val="24"/>
        </w:rPr>
      </w:pPr>
      <w:r w:rsidRPr="00E174C6">
        <w:rPr>
          <w:rFonts w:ascii="Times New Roman" w:hAnsi="Times New Roman"/>
          <w:sz w:val="24"/>
          <w:szCs w:val="24"/>
        </w:rPr>
        <w:tab/>
      </w:r>
    </w:p>
    <w:p w14:paraId="6A63B85E" w14:textId="77777777" w:rsidR="005F5FFD" w:rsidRPr="00E174C6" w:rsidRDefault="005F5FFD" w:rsidP="00E174C6">
      <w:pPr>
        <w:spacing w:line="276" w:lineRule="auto"/>
        <w:jc w:val="both"/>
        <w:rPr>
          <w:rFonts w:ascii="Times New Roman" w:hAnsi="Times New Roman"/>
          <w:sz w:val="24"/>
          <w:szCs w:val="24"/>
        </w:rPr>
      </w:pPr>
    </w:p>
    <w:p w14:paraId="0EA4E30A" w14:textId="77777777" w:rsidR="005F5FFD" w:rsidRPr="00E174C6" w:rsidRDefault="005F5FFD" w:rsidP="00E174C6">
      <w:pPr>
        <w:spacing w:line="276" w:lineRule="auto"/>
        <w:jc w:val="both"/>
        <w:rPr>
          <w:rFonts w:ascii="Times New Roman" w:hAnsi="Times New Roman"/>
          <w:sz w:val="24"/>
          <w:szCs w:val="24"/>
        </w:rPr>
      </w:pPr>
    </w:p>
    <w:p w14:paraId="66A6B7E5" w14:textId="77777777" w:rsidR="005F5FFD" w:rsidRPr="00E174C6" w:rsidRDefault="005F5FFD" w:rsidP="00E174C6">
      <w:pPr>
        <w:spacing w:line="276" w:lineRule="auto"/>
        <w:jc w:val="both"/>
        <w:rPr>
          <w:rFonts w:ascii="Times New Roman" w:hAnsi="Times New Roman"/>
          <w:sz w:val="24"/>
          <w:szCs w:val="24"/>
        </w:rPr>
      </w:pPr>
    </w:p>
    <w:p w14:paraId="24E9AE0D" w14:textId="0623494F" w:rsidR="005F5FFD" w:rsidRPr="00E174C6" w:rsidRDefault="00044C3D" w:rsidP="00E174C6">
      <w:pPr>
        <w:spacing w:line="276" w:lineRule="auto"/>
        <w:jc w:val="both"/>
        <w:rPr>
          <w:rFonts w:ascii="Times New Roman" w:hAnsi="Times New Roman"/>
          <w:sz w:val="24"/>
          <w:szCs w:val="24"/>
        </w:rPr>
      </w:pPr>
      <w:r w:rsidRPr="00044C3D">
        <w:rPr>
          <w:rFonts w:ascii="Times New Roman" w:hAnsi="Times New Roman"/>
          <w:noProof/>
          <w:sz w:val="24"/>
          <w:szCs w:val="24"/>
        </w:rPr>
        <w:drawing>
          <wp:inline distT="0" distB="0" distL="0" distR="0" wp14:anchorId="2EDEC61F" wp14:editId="16362C26">
            <wp:extent cx="5731510" cy="3821007"/>
            <wp:effectExtent l="0" t="0" r="2540" b="8255"/>
            <wp:docPr id="4" name="Image 4" descr="C:\Users\Utilisateur\Desktop\PHOTOS CONCERTATIONS NATIONALES\1ère concertation\IMG_4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HOTOS CONCERTATIONS NATIONALES\1ère concertation\IMG_447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31510" cy="3821007"/>
                    </a:xfrm>
                    <a:prstGeom prst="rect">
                      <a:avLst/>
                    </a:prstGeom>
                    <a:noFill/>
                    <a:ln>
                      <a:noFill/>
                    </a:ln>
                  </pic:spPr>
                </pic:pic>
              </a:graphicData>
            </a:graphic>
          </wp:inline>
        </w:drawing>
      </w:r>
      <w:bookmarkStart w:id="0" w:name="_GoBack"/>
      <w:bookmarkEnd w:id="0"/>
    </w:p>
    <w:p w14:paraId="33C6E4BE" w14:textId="77777777" w:rsidR="005F5FFD" w:rsidRPr="00E174C6" w:rsidRDefault="0012707F" w:rsidP="00E174C6">
      <w:pPr>
        <w:tabs>
          <w:tab w:val="left" w:pos="2430"/>
        </w:tabs>
        <w:spacing w:line="276" w:lineRule="auto"/>
        <w:jc w:val="both"/>
        <w:rPr>
          <w:rFonts w:ascii="Times New Roman" w:hAnsi="Times New Roman"/>
          <w:sz w:val="24"/>
          <w:szCs w:val="24"/>
        </w:rPr>
      </w:pPr>
      <w:r w:rsidRPr="00E174C6">
        <w:rPr>
          <w:rFonts w:ascii="Times New Roman" w:hAnsi="Times New Roman"/>
          <w:sz w:val="24"/>
          <w:szCs w:val="24"/>
        </w:rPr>
        <w:tab/>
      </w:r>
    </w:p>
    <w:p w14:paraId="2A30DB0A" w14:textId="77777777" w:rsidR="00C05386" w:rsidRDefault="00C05386" w:rsidP="00E174C6">
      <w:pPr>
        <w:spacing w:line="276" w:lineRule="auto"/>
        <w:jc w:val="both"/>
        <w:rPr>
          <w:rFonts w:ascii="Times New Roman" w:hAnsi="Times New Roman"/>
          <w:i/>
          <w:sz w:val="24"/>
          <w:szCs w:val="24"/>
        </w:rPr>
      </w:pPr>
    </w:p>
    <w:p w14:paraId="7F08BF06" w14:textId="77777777" w:rsidR="00044C3D" w:rsidRPr="00E174C6" w:rsidRDefault="00044C3D" w:rsidP="00E174C6">
      <w:pPr>
        <w:spacing w:line="276" w:lineRule="auto"/>
        <w:jc w:val="both"/>
        <w:rPr>
          <w:rFonts w:ascii="Times New Roman" w:hAnsi="Times New Roman"/>
          <w:i/>
          <w:sz w:val="24"/>
          <w:szCs w:val="24"/>
        </w:rPr>
      </w:pPr>
    </w:p>
    <w:p w14:paraId="2F4FD332" w14:textId="77777777" w:rsidR="00C05386" w:rsidRPr="00E174C6" w:rsidRDefault="00C05386" w:rsidP="00E174C6">
      <w:pPr>
        <w:spacing w:line="276" w:lineRule="auto"/>
        <w:jc w:val="both"/>
        <w:rPr>
          <w:rFonts w:ascii="Times New Roman" w:hAnsi="Times New Roman"/>
          <w:i/>
          <w:sz w:val="24"/>
          <w:szCs w:val="24"/>
        </w:rPr>
      </w:pPr>
    </w:p>
    <w:p w14:paraId="735CEFED" w14:textId="5C2F98E8" w:rsidR="005F5FFD" w:rsidRPr="00E174C6" w:rsidRDefault="00356157" w:rsidP="00E174C6">
      <w:pPr>
        <w:spacing w:line="276" w:lineRule="auto"/>
        <w:jc w:val="right"/>
        <w:rPr>
          <w:rFonts w:ascii="Times New Roman" w:hAnsi="Times New Roman"/>
          <w:i/>
          <w:sz w:val="24"/>
          <w:szCs w:val="24"/>
        </w:rPr>
      </w:pPr>
      <w:r w:rsidRPr="00E174C6">
        <w:rPr>
          <w:rFonts w:ascii="Times New Roman" w:hAnsi="Times New Roman"/>
          <w:i/>
          <w:sz w:val="24"/>
          <w:szCs w:val="24"/>
        </w:rPr>
        <w:t>Août</w:t>
      </w:r>
      <w:r w:rsidR="005F5FFD" w:rsidRPr="00E174C6">
        <w:rPr>
          <w:rFonts w:ascii="Times New Roman" w:hAnsi="Times New Roman"/>
          <w:i/>
          <w:sz w:val="24"/>
          <w:szCs w:val="24"/>
        </w:rPr>
        <w:t xml:space="preserve"> 2021</w:t>
      </w:r>
    </w:p>
    <w:p w14:paraId="4F6D5461" w14:textId="77777777" w:rsidR="00C06D62" w:rsidRPr="00E174C6" w:rsidRDefault="00C06D62" w:rsidP="00E174C6">
      <w:pPr>
        <w:spacing w:line="276" w:lineRule="auto"/>
        <w:jc w:val="both"/>
        <w:rPr>
          <w:rFonts w:ascii="Times New Roman" w:hAnsi="Times New Roman"/>
          <w:sz w:val="24"/>
          <w:szCs w:val="24"/>
        </w:rPr>
        <w:sectPr w:rsidR="00C06D62" w:rsidRPr="00E174C6" w:rsidSect="00BC38E0">
          <w:footerReference w:type="default" r:id="rId15"/>
          <w:pgSz w:w="11906" w:h="16838"/>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6"/>
          <w:cols w:space="708"/>
          <w:titlePg/>
          <w:docGrid w:linePitch="360"/>
        </w:sectPr>
      </w:pPr>
    </w:p>
    <w:bookmarkStart w:id="1" w:name="_Toc80650210" w:displacedByCustomXml="next"/>
    <w:bookmarkStart w:id="2" w:name="_Toc80650433" w:displacedByCustomXml="next"/>
    <w:bookmarkStart w:id="3" w:name="_Toc80650461" w:displacedByCustomXml="next"/>
    <w:bookmarkStart w:id="4" w:name="_Toc80651362" w:displacedByCustomXml="next"/>
    <w:bookmarkStart w:id="5" w:name="_Toc80701286" w:displacedByCustomXml="next"/>
    <w:bookmarkStart w:id="6" w:name="_Toc80701574" w:displacedByCustomXml="next"/>
    <w:sdt>
      <w:sdtPr>
        <w:rPr>
          <w:rFonts w:ascii="Cambria" w:eastAsia="Times New Roman" w:hAnsi="Cambria" w:cs="Times New Roman"/>
          <w:color w:val="auto"/>
          <w:sz w:val="22"/>
          <w:szCs w:val="22"/>
        </w:rPr>
        <w:id w:val="1794939441"/>
        <w:docPartObj>
          <w:docPartGallery w:val="Table of Contents"/>
          <w:docPartUnique/>
        </w:docPartObj>
      </w:sdtPr>
      <w:sdtEndPr>
        <w:rPr>
          <w:b/>
          <w:bCs/>
        </w:rPr>
      </w:sdtEndPr>
      <w:sdtContent>
        <w:p w14:paraId="37B8CB50" w14:textId="4B5C7842" w:rsidR="00970A24" w:rsidRDefault="00970A24">
          <w:pPr>
            <w:pStyle w:val="En-ttedetabledesmatires"/>
          </w:pPr>
          <w:r>
            <w:t>Table des matières</w:t>
          </w:r>
        </w:p>
        <w:p w14:paraId="54A72612" w14:textId="77777777" w:rsidR="00885F60" w:rsidRDefault="00970A24">
          <w:pPr>
            <w:pStyle w:val="TM1"/>
            <w:rPr>
              <w:rFonts w:asciiTheme="minorHAnsi" w:eastAsiaTheme="minorEastAsia" w:hAnsiTheme="minorHAnsi" w:cstheme="minorBidi"/>
              <w:b w:val="0"/>
              <w:bCs w:val="0"/>
              <w:caps w:val="0"/>
              <w:sz w:val="22"/>
              <w:szCs w:val="22"/>
            </w:rPr>
          </w:pPr>
          <w:r>
            <w:rPr>
              <w:rFonts w:asciiTheme="minorHAnsi" w:hAnsiTheme="minorHAnsi" w:cstheme="minorHAnsi"/>
              <w:sz w:val="20"/>
            </w:rPr>
            <w:fldChar w:fldCharType="begin"/>
          </w:r>
          <w:r>
            <w:instrText xml:space="preserve"> TOC \o "1-3" \h \z \u </w:instrText>
          </w:r>
          <w:r>
            <w:rPr>
              <w:rFonts w:asciiTheme="minorHAnsi" w:hAnsiTheme="minorHAnsi" w:cstheme="minorHAnsi"/>
              <w:sz w:val="20"/>
            </w:rPr>
            <w:fldChar w:fldCharType="separate"/>
          </w:r>
          <w:hyperlink w:anchor="_Toc82164346" w:history="1">
            <w:r w:rsidR="00885F60" w:rsidRPr="00C3336E">
              <w:rPr>
                <w:rStyle w:val="Lienhypertexte"/>
              </w:rPr>
              <w:t>CONTEXTE</w:t>
            </w:r>
            <w:r w:rsidR="00885F60">
              <w:rPr>
                <w:webHidden/>
              </w:rPr>
              <w:tab/>
            </w:r>
            <w:r w:rsidR="00885F60">
              <w:rPr>
                <w:webHidden/>
              </w:rPr>
              <w:fldChar w:fldCharType="begin"/>
            </w:r>
            <w:r w:rsidR="00885F60">
              <w:rPr>
                <w:webHidden/>
              </w:rPr>
              <w:instrText xml:space="preserve"> PAGEREF _Toc82164346 \h </w:instrText>
            </w:r>
            <w:r w:rsidR="00885F60">
              <w:rPr>
                <w:webHidden/>
              </w:rPr>
            </w:r>
            <w:r w:rsidR="00885F60">
              <w:rPr>
                <w:webHidden/>
              </w:rPr>
              <w:fldChar w:fldCharType="separate"/>
            </w:r>
            <w:r w:rsidR="00885F60">
              <w:rPr>
                <w:webHidden/>
              </w:rPr>
              <w:t>2</w:t>
            </w:r>
            <w:r w:rsidR="00885F60">
              <w:rPr>
                <w:webHidden/>
              </w:rPr>
              <w:fldChar w:fldCharType="end"/>
            </w:r>
          </w:hyperlink>
        </w:p>
        <w:p w14:paraId="2B6C755B" w14:textId="77777777" w:rsidR="00885F60" w:rsidRDefault="00885F60">
          <w:pPr>
            <w:pStyle w:val="TM1"/>
            <w:rPr>
              <w:rFonts w:asciiTheme="minorHAnsi" w:eastAsiaTheme="minorEastAsia" w:hAnsiTheme="minorHAnsi" w:cstheme="minorBidi"/>
              <w:b w:val="0"/>
              <w:bCs w:val="0"/>
              <w:caps w:val="0"/>
              <w:sz w:val="22"/>
              <w:szCs w:val="22"/>
            </w:rPr>
          </w:pPr>
          <w:hyperlink w:anchor="_Toc82164347" w:history="1">
            <w:r w:rsidRPr="00C3336E">
              <w:rPr>
                <w:rStyle w:val="Lienhypertexte"/>
              </w:rPr>
              <w:t>I.</w:t>
            </w:r>
            <w:r>
              <w:rPr>
                <w:rFonts w:asciiTheme="minorHAnsi" w:eastAsiaTheme="minorEastAsia" w:hAnsiTheme="minorHAnsi" w:cstheme="minorBidi"/>
                <w:b w:val="0"/>
                <w:bCs w:val="0"/>
                <w:caps w:val="0"/>
                <w:sz w:val="22"/>
                <w:szCs w:val="22"/>
              </w:rPr>
              <w:tab/>
            </w:r>
            <w:r w:rsidRPr="00C3336E">
              <w:rPr>
                <w:rStyle w:val="Lienhypertexte"/>
              </w:rPr>
              <w:t>APERÇU DE L’ETAT ACTUEL DES SYSTEMES ALIMENTAIRES AU BURKINA FASO</w:t>
            </w:r>
            <w:r>
              <w:rPr>
                <w:webHidden/>
              </w:rPr>
              <w:tab/>
            </w:r>
            <w:r>
              <w:rPr>
                <w:webHidden/>
              </w:rPr>
              <w:fldChar w:fldCharType="begin"/>
            </w:r>
            <w:r>
              <w:rPr>
                <w:webHidden/>
              </w:rPr>
              <w:instrText xml:space="preserve"> PAGEREF _Toc82164347 \h </w:instrText>
            </w:r>
            <w:r>
              <w:rPr>
                <w:webHidden/>
              </w:rPr>
            </w:r>
            <w:r>
              <w:rPr>
                <w:webHidden/>
              </w:rPr>
              <w:fldChar w:fldCharType="separate"/>
            </w:r>
            <w:r>
              <w:rPr>
                <w:webHidden/>
              </w:rPr>
              <w:t>2</w:t>
            </w:r>
            <w:r>
              <w:rPr>
                <w:webHidden/>
              </w:rPr>
              <w:fldChar w:fldCharType="end"/>
            </w:r>
          </w:hyperlink>
        </w:p>
        <w:p w14:paraId="7ADEDE59" w14:textId="77777777" w:rsidR="00885F60" w:rsidRDefault="00885F60">
          <w:pPr>
            <w:pStyle w:val="TM1"/>
            <w:rPr>
              <w:rFonts w:asciiTheme="minorHAnsi" w:eastAsiaTheme="minorEastAsia" w:hAnsiTheme="minorHAnsi" w:cstheme="minorBidi"/>
              <w:b w:val="0"/>
              <w:bCs w:val="0"/>
              <w:caps w:val="0"/>
              <w:sz w:val="22"/>
              <w:szCs w:val="22"/>
            </w:rPr>
          </w:pPr>
          <w:hyperlink w:anchor="_Toc82164348" w:history="1">
            <w:r w:rsidRPr="00C3336E">
              <w:rPr>
                <w:rStyle w:val="Lienhypertexte"/>
              </w:rPr>
              <w:t>II.</w:t>
            </w:r>
            <w:r>
              <w:rPr>
                <w:rFonts w:asciiTheme="minorHAnsi" w:eastAsiaTheme="minorEastAsia" w:hAnsiTheme="minorHAnsi" w:cstheme="minorBidi"/>
                <w:b w:val="0"/>
                <w:bCs w:val="0"/>
                <w:caps w:val="0"/>
                <w:sz w:val="22"/>
                <w:szCs w:val="22"/>
              </w:rPr>
              <w:tab/>
            </w:r>
            <w:r w:rsidRPr="00C3336E">
              <w:rPr>
                <w:rStyle w:val="Lienhypertexte"/>
              </w:rPr>
              <w:t>ATTENTES DES SYSTEMES ALIMENTAIRES NATIONAUX POUR LA PROCHAINE DECENNIE</w:t>
            </w:r>
            <w:r>
              <w:rPr>
                <w:webHidden/>
              </w:rPr>
              <w:tab/>
            </w:r>
            <w:r>
              <w:rPr>
                <w:webHidden/>
              </w:rPr>
              <w:fldChar w:fldCharType="begin"/>
            </w:r>
            <w:r>
              <w:rPr>
                <w:webHidden/>
              </w:rPr>
              <w:instrText xml:space="preserve"> PAGEREF _Toc82164348 \h </w:instrText>
            </w:r>
            <w:r>
              <w:rPr>
                <w:webHidden/>
              </w:rPr>
            </w:r>
            <w:r>
              <w:rPr>
                <w:webHidden/>
              </w:rPr>
              <w:fldChar w:fldCharType="separate"/>
            </w:r>
            <w:r>
              <w:rPr>
                <w:webHidden/>
              </w:rPr>
              <w:t>5</w:t>
            </w:r>
            <w:r>
              <w:rPr>
                <w:webHidden/>
              </w:rPr>
              <w:fldChar w:fldCharType="end"/>
            </w:r>
          </w:hyperlink>
        </w:p>
        <w:p w14:paraId="530508AC"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49" w:history="1">
            <w:r w:rsidRPr="00C3336E">
              <w:rPr>
                <w:rStyle w:val="Lienhypertexte"/>
                <w:rFonts w:eastAsia="Calibri"/>
                <w:noProof/>
              </w:rPr>
              <w:t>1.</w:t>
            </w:r>
            <w:r>
              <w:rPr>
                <w:rFonts w:eastAsiaTheme="minorEastAsia" w:cstheme="minorBidi"/>
                <w:smallCaps w:val="0"/>
                <w:noProof/>
                <w:sz w:val="22"/>
                <w:szCs w:val="22"/>
              </w:rPr>
              <w:tab/>
            </w:r>
            <w:r w:rsidRPr="00C3336E">
              <w:rPr>
                <w:rStyle w:val="Lienhypertexte"/>
                <w:rFonts w:eastAsia="Calibri"/>
                <w:noProof/>
              </w:rPr>
              <w:t>Production agro-sylvo-pastorale halieutique et faunique, diversifiée, suffisante, de qualité et s’inscrivant dans la durabilité</w:t>
            </w:r>
            <w:r>
              <w:rPr>
                <w:noProof/>
                <w:webHidden/>
              </w:rPr>
              <w:tab/>
            </w:r>
            <w:r>
              <w:rPr>
                <w:noProof/>
                <w:webHidden/>
              </w:rPr>
              <w:fldChar w:fldCharType="begin"/>
            </w:r>
            <w:r>
              <w:rPr>
                <w:noProof/>
                <w:webHidden/>
              </w:rPr>
              <w:instrText xml:space="preserve"> PAGEREF _Toc82164349 \h </w:instrText>
            </w:r>
            <w:r>
              <w:rPr>
                <w:noProof/>
                <w:webHidden/>
              </w:rPr>
            </w:r>
            <w:r>
              <w:rPr>
                <w:noProof/>
                <w:webHidden/>
              </w:rPr>
              <w:fldChar w:fldCharType="separate"/>
            </w:r>
            <w:r>
              <w:rPr>
                <w:noProof/>
                <w:webHidden/>
              </w:rPr>
              <w:t>5</w:t>
            </w:r>
            <w:r>
              <w:rPr>
                <w:noProof/>
                <w:webHidden/>
              </w:rPr>
              <w:fldChar w:fldCharType="end"/>
            </w:r>
          </w:hyperlink>
        </w:p>
        <w:p w14:paraId="032A9092"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0" w:history="1">
            <w:r w:rsidRPr="00C3336E">
              <w:rPr>
                <w:rStyle w:val="Lienhypertexte"/>
                <w:rFonts w:eastAsia="Calibri"/>
                <w:noProof/>
              </w:rPr>
              <w:t>2.</w:t>
            </w:r>
            <w:r>
              <w:rPr>
                <w:rFonts w:eastAsiaTheme="minorEastAsia" w:cstheme="minorBidi"/>
                <w:smallCaps w:val="0"/>
                <w:noProof/>
                <w:sz w:val="22"/>
                <w:szCs w:val="22"/>
              </w:rPr>
              <w:tab/>
            </w:r>
            <w:r w:rsidRPr="00C3336E">
              <w:rPr>
                <w:rStyle w:val="Lienhypertexte"/>
                <w:rFonts w:eastAsia="Calibri"/>
                <w:noProof/>
              </w:rPr>
              <w:t>Transformer 35 % des produits ASPHF en garantissant une qualité nutritionnelle et sanitaire d’ici à 2030</w:t>
            </w:r>
            <w:r>
              <w:rPr>
                <w:noProof/>
                <w:webHidden/>
              </w:rPr>
              <w:tab/>
            </w:r>
            <w:r>
              <w:rPr>
                <w:noProof/>
                <w:webHidden/>
              </w:rPr>
              <w:fldChar w:fldCharType="begin"/>
            </w:r>
            <w:r>
              <w:rPr>
                <w:noProof/>
                <w:webHidden/>
              </w:rPr>
              <w:instrText xml:space="preserve"> PAGEREF _Toc82164350 \h </w:instrText>
            </w:r>
            <w:r>
              <w:rPr>
                <w:noProof/>
                <w:webHidden/>
              </w:rPr>
            </w:r>
            <w:r>
              <w:rPr>
                <w:noProof/>
                <w:webHidden/>
              </w:rPr>
              <w:fldChar w:fldCharType="separate"/>
            </w:r>
            <w:r>
              <w:rPr>
                <w:noProof/>
                <w:webHidden/>
              </w:rPr>
              <w:t>5</w:t>
            </w:r>
            <w:r>
              <w:rPr>
                <w:noProof/>
                <w:webHidden/>
              </w:rPr>
              <w:fldChar w:fldCharType="end"/>
            </w:r>
          </w:hyperlink>
        </w:p>
        <w:p w14:paraId="12F8DB9A"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1" w:history="1">
            <w:r w:rsidRPr="00C3336E">
              <w:rPr>
                <w:rStyle w:val="Lienhypertexte"/>
                <w:rFonts w:eastAsia="Calibri"/>
                <w:noProof/>
              </w:rPr>
              <w:t>3.</w:t>
            </w:r>
            <w:r>
              <w:rPr>
                <w:rFonts w:eastAsiaTheme="minorEastAsia" w:cstheme="minorBidi"/>
                <w:smallCaps w:val="0"/>
                <w:noProof/>
                <w:sz w:val="22"/>
                <w:szCs w:val="22"/>
              </w:rPr>
              <w:tab/>
            </w:r>
            <w:r w:rsidRPr="00C3336E">
              <w:rPr>
                <w:rStyle w:val="Lienhypertexte"/>
                <w:rFonts w:eastAsia="Calibri"/>
                <w:noProof/>
              </w:rPr>
              <w:t>Promouvoir les bonnes habitudes de consommation, de modes de vie sains et valoriser les productions locales</w:t>
            </w:r>
            <w:r>
              <w:rPr>
                <w:noProof/>
                <w:webHidden/>
              </w:rPr>
              <w:tab/>
            </w:r>
            <w:r>
              <w:rPr>
                <w:noProof/>
                <w:webHidden/>
              </w:rPr>
              <w:fldChar w:fldCharType="begin"/>
            </w:r>
            <w:r>
              <w:rPr>
                <w:noProof/>
                <w:webHidden/>
              </w:rPr>
              <w:instrText xml:space="preserve"> PAGEREF _Toc82164351 \h </w:instrText>
            </w:r>
            <w:r>
              <w:rPr>
                <w:noProof/>
                <w:webHidden/>
              </w:rPr>
            </w:r>
            <w:r>
              <w:rPr>
                <w:noProof/>
                <w:webHidden/>
              </w:rPr>
              <w:fldChar w:fldCharType="separate"/>
            </w:r>
            <w:r>
              <w:rPr>
                <w:noProof/>
                <w:webHidden/>
              </w:rPr>
              <w:t>6</w:t>
            </w:r>
            <w:r>
              <w:rPr>
                <w:noProof/>
                <w:webHidden/>
              </w:rPr>
              <w:fldChar w:fldCharType="end"/>
            </w:r>
          </w:hyperlink>
        </w:p>
        <w:p w14:paraId="700D5D04"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2" w:history="1">
            <w:r w:rsidRPr="00C3336E">
              <w:rPr>
                <w:rStyle w:val="Lienhypertexte"/>
                <w:rFonts w:eastAsia="Calibri"/>
                <w:noProof/>
              </w:rPr>
              <w:t>4.</w:t>
            </w:r>
            <w:r>
              <w:rPr>
                <w:rFonts w:eastAsiaTheme="minorEastAsia" w:cstheme="minorBidi"/>
                <w:smallCaps w:val="0"/>
                <w:noProof/>
                <w:sz w:val="22"/>
                <w:szCs w:val="22"/>
              </w:rPr>
              <w:tab/>
            </w:r>
            <w:r w:rsidRPr="00C3336E">
              <w:rPr>
                <w:rStyle w:val="Lienhypertexte"/>
                <w:rFonts w:eastAsia="Calibri"/>
                <w:noProof/>
              </w:rPr>
              <w:t>Assurer la fluidité des échanges entre les zones de production, de transformation et de consommation à travers des infrastructures et des moyens de transport adaptés</w:t>
            </w:r>
            <w:r>
              <w:rPr>
                <w:noProof/>
                <w:webHidden/>
              </w:rPr>
              <w:tab/>
            </w:r>
            <w:r>
              <w:rPr>
                <w:noProof/>
                <w:webHidden/>
              </w:rPr>
              <w:fldChar w:fldCharType="begin"/>
            </w:r>
            <w:r>
              <w:rPr>
                <w:noProof/>
                <w:webHidden/>
              </w:rPr>
              <w:instrText xml:space="preserve"> PAGEREF _Toc82164352 \h </w:instrText>
            </w:r>
            <w:r>
              <w:rPr>
                <w:noProof/>
                <w:webHidden/>
              </w:rPr>
            </w:r>
            <w:r>
              <w:rPr>
                <w:noProof/>
                <w:webHidden/>
              </w:rPr>
              <w:fldChar w:fldCharType="separate"/>
            </w:r>
            <w:r>
              <w:rPr>
                <w:noProof/>
                <w:webHidden/>
              </w:rPr>
              <w:t>6</w:t>
            </w:r>
            <w:r>
              <w:rPr>
                <w:noProof/>
                <w:webHidden/>
              </w:rPr>
              <w:fldChar w:fldCharType="end"/>
            </w:r>
          </w:hyperlink>
        </w:p>
        <w:p w14:paraId="4BB64A87"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3" w:history="1">
            <w:r w:rsidRPr="00C3336E">
              <w:rPr>
                <w:rStyle w:val="Lienhypertexte"/>
                <w:rFonts w:eastAsia="Calibri"/>
                <w:noProof/>
              </w:rPr>
              <w:t>5.</w:t>
            </w:r>
            <w:r>
              <w:rPr>
                <w:rFonts w:eastAsiaTheme="minorEastAsia" w:cstheme="minorBidi"/>
                <w:smallCaps w:val="0"/>
                <w:noProof/>
                <w:sz w:val="22"/>
                <w:szCs w:val="22"/>
              </w:rPr>
              <w:tab/>
            </w:r>
            <w:r w:rsidRPr="00C3336E">
              <w:rPr>
                <w:rStyle w:val="Lienhypertexte"/>
                <w:rFonts w:eastAsia="Calibri"/>
                <w:noProof/>
              </w:rPr>
              <w:t>Renforcer les capacités des acteurs des Systèmes Alimentaires et leur résilience aux aléas</w:t>
            </w:r>
            <w:r>
              <w:rPr>
                <w:noProof/>
                <w:webHidden/>
              </w:rPr>
              <w:tab/>
            </w:r>
            <w:r>
              <w:rPr>
                <w:noProof/>
                <w:webHidden/>
              </w:rPr>
              <w:fldChar w:fldCharType="begin"/>
            </w:r>
            <w:r>
              <w:rPr>
                <w:noProof/>
                <w:webHidden/>
              </w:rPr>
              <w:instrText xml:space="preserve"> PAGEREF _Toc82164353 \h </w:instrText>
            </w:r>
            <w:r>
              <w:rPr>
                <w:noProof/>
                <w:webHidden/>
              </w:rPr>
            </w:r>
            <w:r>
              <w:rPr>
                <w:noProof/>
                <w:webHidden/>
              </w:rPr>
              <w:fldChar w:fldCharType="separate"/>
            </w:r>
            <w:r>
              <w:rPr>
                <w:noProof/>
                <w:webHidden/>
              </w:rPr>
              <w:t>7</w:t>
            </w:r>
            <w:r>
              <w:rPr>
                <w:noProof/>
                <w:webHidden/>
              </w:rPr>
              <w:fldChar w:fldCharType="end"/>
            </w:r>
          </w:hyperlink>
        </w:p>
        <w:p w14:paraId="2B56026C" w14:textId="77777777" w:rsidR="00885F60" w:rsidRDefault="00885F60">
          <w:pPr>
            <w:pStyle w:val="TM1"/>
            <w:rPr>
              <w:rFonts w:asciiTheme="minorHAnsi" w:eastAsiaTheme="minorEastAsia" w:hAnsiTheme="minorHAnsi" w:cstheme="minorBidi"/>
              <w:b w:val="0"/>
              <w:bCs w:val="0"/>
              <w:caps w:val="0"/>
              <w:sz w:val="22"/>
              <w:szCs w:val="22"/>
            </w:rPr>
          </w:pPr>
          <w:hyperlink w:anchor="_Toc82164354" w:history="1">
            <w:r w:rsidRPr="00C3336E">
              <w:rPr>
                <w:rStyle w:val="Lienhypertexte"/>
              </w:rPr>
              <w:t>III.</w:t>
            </w:r>
            <w:r>
              <w:rPr>
                <w:rFonts w:asciiTheme="minorHAnsi" w:eastAsiaTheme="minorEastAsia" w:hAnsiTheme="minorHAnsi" w:cstheme="minorBidi"/>
                <w:b w:val="0"/>
                <w:bCs w:val="0"/>
                <w:caps w:val="0"/>
                <w:sz w:val="22"/>
                <w:szCs w:val="22"/>
              </w:rPr>
              <w:tab/>
            </w:r>
            <w:r w:rsidRPr="00C3336E">
              <w:rPr>
                <w:rStyle w:val="Lienhypertexte"/>
              </w:rPr>
              <w:t>ACTIONS FORTES A MENER DANS LE COURT TERME (TROIS PREMIERES ANNEES)</w:t>
            </w:r>
            <w:r>
              <w:rPr>
                <w:webHidden/>
              </w:rPr>
              <w:tab/>
            </w:r>
            <w:r>
              <w:rPr>
                <w:webHidden/>
              </w:rPr>
              <w:fldChar w:fldCharType="begin"/>
            </w:r>
            <w:r>
              <w:rPr>
                <w:webHidden/>
              </w:rPr>
              <w:instrText xml:space="preserve"> PAGEREF _Toc82164354 \h </w:instrText>
            </w:r>
            <w:r>
              <w:rPr>
                <w:webHidden/>
              </w:rPr>
            </w:r>
            <w:r>
              <w:rPr>
                <w:webHidden/>
              </w:rPr>
              <w:fldChar w:fldCharType="separate"/>
            </w:r>
            <w:r>
              <w:rPr>
                <w:webHidden/>
              </w:rPr>
              <w:t>7</w:t>
            </w:r>
            <w:r>
              <w:rPr>
                <w:webHidden/>
              </w:rPr>
              <w:fldChar w:fldCharType="end"/>
            </w:r>
          </w:hyperlink>
        </w:p>
        <w:p w14:paraId="1DA7B9DC" w14:textId="77777777" w:rsidR="00885F60" w:rsidRDefault="00885F60">
          <w:pPr>
            <w:pStyle w:val="TM1"/>
            <w:rPr>
              <w:rFonts w:asciiTheme="minorHAnsi" w:eastAsiaTheme="minorEastAsia" w:hAnsiTheme="minorHAnsi" w:cstheme="minorBidi"/>
              <w:b w:val="0"/>
              <w:bCs w:val="0"/>
              <w:caps w:val="0"/>
              <w:sz w:val="22"/>
              <w:szCs w:val="22"/>
            </w:rPr>
          </w:pPr>
          <w:hyperlink w:anchor="_Toc82164355" w:history="1">
            <w:r w:rsidRPr="00C3336E">
              <w:rPr>
                <w:rStyle w:val="Lienhypertexte"/>
              </w:rPr>
              <w:t>IV.</w:t>
            </w:r>
            <w:r>
              <w:rPr>
                <w:rFonts w:asciiTheme="minorHAnsi" w:eastAsiaTheme="minorEastAsia" w:hAnsiTheme="minorHAnsi" w:cstheme="minorBidi"/>
                <w:b w:val="0"/>
                <w:bCs w:val="0"/>
                <w:caps w:val="0"/>
                <w:sz w:val="22"/>
                <w:szCs w:val="22"/>
              </w:rPr>
              <w:tab/>
            </w:r>
            <w:r w:rsidRPr="00C3336E">
              <w:rPr>
                <w:rStyle w:val="Lienhypertexte"/>
              </w:rPr>
              <w:t>ACTIONS STRATEGIQUES ET OPERATIONNELLES A REALISER DANS LE MOYEN ET LONG TERME</w:t>
            </w:r>
            <w:r>
              <w:rPr>
                <w:webHidden/>
              </w:rPr>
              <w:tab/>
            </w:r>
            <w:r>
              <w:rPr>
                <w:webHidden/>
              </w:rPr>
              <w:fldChar w:fldCharType="begin"/>
            </w:r>
            <w:r>
              <w:rPr>
                <w:webHidden/>
              </w:rPr>
              <w:instrText xml:space="preserve"> PAGEREF _Toc82164355 \h </w:instrText>
            </w:r>
            <w:r>
              <w:rPr>
                <w:webHidden/>
              </w:rPr>
            </w:r>
            <w:r>
              <w:rPr>
                <w:webHidden/>
              </w:rPr>
              <w:fldChar w:fldCharType="separate"/>
            </w:r>
            <w:r>
              <w:rPr>
                <w:webHidden/>
              </w:rPr>
              <w:t>9</w:t>
            </w:r>
            <w:r>
              <w:rPr>
                <w:webHidden/>
              </w:rPr>
              <w:fldChar w:fldCharType="end"/>
            </w:r>
          </w:hyperlink>
        </w:p>
        <w:p w14:paraId="4691F17B" w14:textId="77777777" w:rsidR="00885F60" w:rsidRDefault="00885F60">
          <w:pPr>
            <w:pStyle w:val="TM1"/>
            <w:rPr>
              <w:rFonts w:asciiTheme="minorHAnsi" w:eastAsiaTheme="minorEastAsia" w:hAnsiTheme="minorHAnsi" w:cstheme="minorBidi"/>
              <w:b w:val="0"/>
              <w:bCs w:val="0"/>
              <w:caps w:val="0"/>
              <w:sz w:val="22"/>
              <w:szCs w:val="22"/>
            </w:rPr>
          </w:pPr>
          <w:hyperlink w:anchor="_Toc82164356" w:history="1">
            <w:r w:rsidRPr="00C3336E">
              <w:rPr>
                <w:rStyle w:val="Lienhypertexte"/>
              </w:rPr>
              <w:t>V.</w:t>
            </w:r>
            <w:r>
              <w:rPr>
                <w:rFonts w:asciiTheme="minorHAnsi" w:eastAsiaTheme="minorEastAsia" w:hAnsiTheme="minorHAnsi" w:cstheme="minorBidi"/>
                <w:b w:val="0"/>
                <w:bCs w:val="0"/>
                <w:caps w:val="0"/>
                <w:sz w:val="22"/>
                <w:szCs w:val="22"/>
              </w:rPr>
              <w:tab/>
            </w:r>
            <w:r w:rsidRPr="00C3336E">
              <w:rPr>
                <w:rStyle w:val="Lienhypertexte"/>
              </w:rPr>
              <w:t>DEFINIR COMMENT LES PARTIES PRENANTES PEUVENT COLLABORER A DES ACTIONS COLLECTIVES</w:t>
            </w:r>
            <w:r>
              <w:rPr>
                <w:webHidden/>
              </w:rPr>
              <w:tab/>
            </w:r>
            <w:r>
              <w:rPr>
                <w:webHidden/>
              </w:rPr>
              <w:fldChar w:fldCharType="begin"/>
            </w:r>
            <w:r>
              <w:rPr>
                <w:webHidden/>
              </w:rPr>
              <w:instrText xml:space="preserve"> PAGEREF _Toc82164356 \h </w:instrText>
            </w:r>
            <w:r>
              <w:rPr>
                <w:webHidden/>
              </w:rPr>
            </w:r>
            <w:r>
              <w:rPr>
                <w:webHidden/>
              </w:rPr>
              <w:fldChar w:fldCharType="separate"/>
            </w:r>
            <w:r>
              <w:rPr>
                <w:webHidden/>
              </w:rPr>
              <w:t>10</w:t>
            </w:r>
            <w:r>
              <w:rPr>
                <w:webHidden/>
              </w:rPr>
              <w:fldChar w:fldCharType="end"/>
            </w:r>
          </w:hyperlink>
        </w:p>
        <w:p w14:paraId="67E9DD3D" w14:textId="77777777" w:rsidR="00885F60" w:rsidRDefault="00885F60">
          <w:pPr>
            <w:pStyle w:val="TM1"/>
            <w:rPr>
              <w:rFonts w:asciiTheme="minorHAnsi" w:eastAsiaTheme="minorEastAsia" w:hAnsiTheme="minorHAnsi" w:cstheme="minorBidi"/>
              <w:b w:val="0"/>
              <w:bCs w:val="0"/>
              <w:caps w:val="0"/>
              <w:sz w:val="22"/>
              <w:szCs w:val="22"/>
            </w:rPr>
          </w:pPr>
          <w:hyperlink w:anchor="_Toc82164357" w:history="1">
            <w:r w:rsidRPr="00C3336E">
              <w:rPr>
                <w:rStyle w:val="Lienhypertexte"/>
              </w:rPr>
              <w:t>Annexe  : Plan d’actions du Burkina Faso pour l’Agenda 2030</w:t>
            </w:r>
            <w:r>
              <w:rPr>
                <w:webHidden/>
              </w:rPr>
              <w:tab/>
            </w:r>
            <w:r>
              <w:rPr>
                <w:webHidden/>
              </w:rPr>
              <w:fldChar w:fldCharType="begin"/>
            </w:r>
            <w:r>
              <w:rPr>
                <w:webHidden/>
              </w:rPr>
              <w:instrText xml:space="preserve"> PAGEREF _Toc82164357 \h </w:instrText>
            </w:r>
            <w:r>
              <w:rPr>
                <w:webHidden/>
              </w:rPr>
            </w:r>
            <w:r>
              <w:rPr>
                <w:webHidden/>
              </w:rPr>
              <w:fldChar w:fldCharType="separate"/>
            </w:r>
            <w:r>
              <w:rPr>
                <w:webHidden/>
              </w:rPr>
              <w:t>12</w:t>
            </w:r>
            <w:r>
              <w:rPr>
                <w:webHidden/>
              </w:rPr>
              <w:fldChar w:fldCharType="end"/>
            </w:r>
          </w:hyperlink>
        </w:p>
        <w:p w14:paraId="475C7EF9" w14:textId="6614E9DC" w:rsidR="00970A24" w:rsidRDefault="00970A24">
          <w:r>
            <w:rPr>
              <w:b/>
              <w:bCs/>
            </w:rPr>
            <w:fldChar w:fldCharType="end"/>
          </w:r>
        </w:p>
      </w:sdtContent>
    </w:sdt>
    <w:p w14:paraId="63F7103C" w14:textId="77777777" w:rsidR="00D95A5F" w:rsidRPr="00D95A5F" w:rsidRDefault="00970A24" w:rsidP="00D95A5F">
      <w:pPr>
        <w:rPr>
          <w:b/>
        </w:rPr>
      </w:pPr>
      <w:r>
        <w:rPr>
          <w:rFonts w:ascii="Times New Roman" w:hAnsi="Times New Roman"/>
          <w:sz w:val="24"/>
          <w:szCs w:val="24"/>
        </w:rPr>
        <w:br w:type="page"/>
      </w:r>
      <w:r w:rsidR="00D95A5F" w:rsidRPr="00D95A5F">
        <w:rPr>
          <w:b/>
        </w:rPr>
        <w:lastRenderedPageBreak/>
        <w:t>SIGGLES ET ABREVIATIONS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344"/>
        <w:gridCol w:w="7366"/>
      </w:tblGrid>
      <w:tr w:rsidR="00D95A5F" w:rsidRPr="00D66AAC" w14:paraId="6115C190" w14:textId="77777777" w:rsidTr="004E5711">
        <w:trPr>
          <w:trHeight w:hRule="exact" w:val="397"/>
        </w:trPr>
        <w:tc>
          <w:tcPr>
            <w:tcW w:w="1352" w:type="dxa"/>
            <w:vAlign w:val="center"/>
          </w:tcPr>
          <w:p w14:paraId="1836C22A" w14:textId="77777777" w:rsidR="00D95A5F" w:rsidRPr="00D66AAC" w:rsidRDefault="00D95A5F" w:rsidP="00E00F7B">
            <w:pPr>
              <w:rPr>
                <w:rFonts w:ascii="Rockwell" w:hAnsi="Rockwell"/>
                <w:sz w:val="24"/>
                <w:szCs w:val="24"/>
              </w:rPr>
            </w:pPr>
            <w:r w:rsidRPr="00D66AAC">
              <w:rPr>
                <w:rFonts w:ascii="Rockwell" w:hAnsi="Rockwell"/>
                <w:sz w:val="24"/>
                <w:szCs w:val="24"/>
              </w:rPr>
              <w:t>AD</w:t>
            </w:r>
          </w:p>
        </w:tc>
        <w:tc>
          <w:tcPr>
            <w:tcW w:w="344" w:type="dxa"/>
            <w:vAlign w:val="center"/>
          </w:tcPr>
          <w:p w14:paraId="07C37C1C"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717CF025" w14:textId="77777777" w:rsidR="00D95A5F" w:rsidRPr="00D66AAC" w:rsidRDefault="00D95A5F" w:rsidP="00E00F7B">
            <w:pPr>
              <w:rPr>
                <w:rFonts w:ascii="Rockwell" w:hAnsi="Rockwell"/>
                <w:sz w:val="24"/>
                <w:szCs w:val="24"/>
              </w:rPr>
            </w:pPr>
            <w:r w:rsidRPr="00D66AAC">
              <w:rPr>
                <w:rFonts w:ascii="Rockwell" w:hAnsi="Rockwell"/>
                <w:sz w:val="24"/>
                <w:szCs w:val="24"/>
              </w:rPr>
              <w:t>Associations de Développement</w:t>
            </w:r>
          </w:p>
        </w:tc>
      </w:tr>
      <w:tr w:rsidR="00A35F72" w:rsidRPr="00D66AAC" w14:paraId="1C65F747" w14:textId="77777777" w:rsidTr="004E5711">
        <w:trPr>
          <w:trHeight w:hRule="exact" w:val="397"/>
        </w:trPr>
        <w:tc>
          <w:tcPr>
            <w:tcW w:w="1352" w:type="dxa"/>
            <w:vAlign w:val="center"/>
          </w:tcPr>
          <w:p w14:paraId="2A49FC0F" w14:textId="235F2E4C" w:rsidR="00A35F72" w:rsidRPr="00D66AAC" w:rsidRDefault="007A12F9" w:rsidP="00E00F7B">
            <w:pPr>
              <w:rPr>
                <w:rFonts w:ascii="Rockwell" w:hAnsi="Rockwell"/>
                <w:sz w:val="24"/>
                <w:szCs w:val="24"/>
              </w:rPr>
            </w:pPr>
            <w:r>
              <w:rPr>
                <w:rFonts w:ascii="Rockwell" w:hAnsi="Rockwell"/>
                <w:sz w:val="24"/>
                <w:szCs w:val="24"/>
              </w:rPr>
              <w:t>ANJE</w:t>
            </w:r>
          </w:p>
        </w:tc>
        <w:tc>
          <w:tcPr>
            <w:tcW w:w="344" w:type="dxa"/>
            <w:vAlign w:val="center"/>
          </w:tcPr>
          <w:p w14:paraId="735792A1" w14:textId="77777777" w:rsidR="00A35F72" w:rsidRPr="00D66AAC" w:rsidRDefault="00A35F72" w:rsidP="00E00F7B">
            <w:pPr>
              <w:rPr>
                <w:rFonts w:ascii="Rockwell" w:hAnsi="Rockwell"/>
                <w:sz w:val="24"/>
                <w:szCs w:val="24"/>
              </w:rPr>
            </w:pPr>
          </w:p>
        </w:tc>
        <w:tc>
          <w:tcPr>
            <w:tcW w:w="7366" w:type="dxa"/>
            <w:vAlign w:val="center"/>
          </w:tcPr>
          <w:p w14:paraId="01A119C3" w14:textId="157FD076" w:rsidR="00A35F72" w:rsidRPr="00D66AAC" w:rsidRDefault="007A12F9" w:rsidP="00E00F7B">
            <w:pPr>
              <w:rPr>
                <w:rFonts w:ascii="Rockwell" w:hAnsi="Rockwell"/>
                <w:sz w:val="24"/>
                <w:szCs w:val="24"/>
              </w:rPr>
            </w:pPr>
            <w:r w:rsidRPr="00287641">
              <w:rPr>
                <w:rFonts w:ascii="Rockwell" w:hAnsi="Rockwell"/>
                <w:sz w:val="26"/>
                <w:szCs w:val="26"/>
              </w:rPr>
              <w:t>Alimentation du Nourrisson et du Jeune Enfant</w:t>
            </w:r>
          </w:p>
        </w:tc>
      </w:tr>
      <w:tr w:rsidR="007A12F9" w:rsidRPr="00D66AAC" w14:paraId="50773B37" w14:textId="77777777" w:rsidTr="004E5711">
        <w:trPr>
          <w:trHeight w:hRule="exact" w:val="397"/>
        </w:trPr>
        <w:tc>
          <w:tcPr>
            <w:tcW w:w="1352" w:type="dxa"/>
            <w:vAlign w:val="center"/>
          </w:tcPr>
          <w:p w14:paraId="01347345" w14:textId="09278061" w:rsidR="007A12F9" w:rsidRDefault="007A12F9" w:rsidP="00E00F7B">
            <w:pPr>
              <w:rPr>
                <w:rFonts w:ascii="Rockwell" w:hAnsi="Rockwell"/>
                <w:sz w:val="24"/>
                <w:szCs w:val="24"/>
              </w:rPr>
            </w:pPr>
            <w:r>
              <w:rPr>
                <w:rFonts w:ascii="Rockwell" w:hAnsi="Rockwell"/>
                <w:sz w:val="24"/>
                <w:szCs w:val="24"/>
              </w:rPr>
              <w:t>ASPHF</w:t>
            </w:r>
          </w:p>
        </w:tc>
        <w:tc>
          <w:tcPr>
            <w:tcW w:w="344" w:type="dxa"/>
            <w:vAlign w:val="center"/>
          </w:tcPr>
          <w:p w14:paraId="5436BD29" w14:textId="77777777" w:rsidR="007A12F9" w:rsidRPr="00D66AAC" w:rsidRDefault="007A12F9" w:rsidP="00E00F7B">
            <w:pPr>
              <w:rPr>
                <w:rFonts w:ascii="Rockwell" w:hAnsi="Rockwell"/>
                <w:sz w:val="24"/>
                <w:szCs w:val="24"/>
              </w:rPr>
            </w:pPr>
          </w:p>
        </w:tc>
        <w:tc>
          <w:tcPr>
            <w:tcW w:w="7366" w:type="dxa"/>
            <w:vAlign w:val="center"/>
          </w:tcPr>
          <w:p w14:paraId="5303B658" w14:textId="596CDF29" w:rsidR="007A12F9" w:rsidRPr="00287641" w:rsidRDefault="007A12F9" w:rsidP="00E00F7B">
            <w:pPr>
              <w:rPr>
                <w:rFonts w:ascii="Rockwell" w:hAnsi="Rockwell"/>
                <w:sz w:val="26"/>
                <w:szCs w:val="26"/>
              </w:rPr>
            </w:pPr>
            <w:r>
              <w:rPr>
                <w:rFonts w:ascii="Rockwell" w:hAnsi="Rockwell"/>
                <w:sz w:val="26"/>
                <w:szCs w:val="26"/>
              </w:rPr>
              <w:t>Agro-Sylvo-Pastoral, Halieutique et Faunique</w:t>
            </w:r>
          </w:p>
        </w:tc>
      </w:tr>
      <w:tr w:rsidR="00D95A5F" w:rsidRPr="00D66AAC" w14:paraId="72ECF9F5" w14:textId="77777777" w:rsidTr="004E5711">
        <w:trPr>
          <w:trHeight w:hRule="exact" w:val="397"/>
        </w:trPr>
        <w:tc>
          <w:tcPr>
            <w:tcW w:w="1352" w:type="dxa"/>
            <w:vAlign w:val="center"/>
          </w:tcPr>
          <w:p w14:paraId="1AAF908D" w14:textId="77777777" w:rsidR="00D95A5F" w:rsidRPr="00D66AAC" w:rsidRDefault="00D95A5F" w:rsidP="00E00F7B">
            <w:pPr>
              <w:rPr>
                <w:rFonts w:ascii="Rockwell" w:hAnsi="Rockwell"/>
                <w:sz w:val="24"/>
                <w:szCs w:val="24"/>
              </w:rPr>
            </w:pPr>
            <w:r w:rsidRPr="00D66AAC">
              <w:rPr>
                <w:rFonts w:ascii="Rockwell" w:hAnsi="Rockwell"/>
                <w:sz w:val="24"/>
                <w:szCs w:val="24"/>
              </w:rPr>
              <w:t>BSPP</w:t>
            </w:r>
          </w:p>
        </w:tc>
        <w:tc>
          <w:tcPr>
            <w:tcW w:w="344" w:type="dxa"/>
            <w:vAlign w:val="center"/>
          </w:tcPr>
          <w:p w14:paraId="5C491F87"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7C4B619F" w14:textId="77777777" w:rsidR="00D95A5F" w:rsidRPr="00D66AAC" w:rsidRDefault="00D95A5F" w:rsidP="00E00F7B">
            <w:pPr>
              <w:rPr>
                <w:rFonts w:ascii="Rockwell" w:hAnsi="Rockwell"/>
                <w:sz w:val="24"/>
                <w:szCs w:val="24"/>
              </w:rPr>
            </w:pPr>
            <w:r w:rsidRPr="00D66AAC">
              <w:rPr>
                <w:rFonts w:ascii="Rockwell" w:hAnsi="Rockwell"/>
                <w:sz w:val="24"/>
                <w:szCs w:val="24"/>
              </w:rPr>
              <w:t>Bureau de Suivi du Programme Présidentiel</w:t>
            </w:r>
          </w:p>
        </w:tc>
      </w:tr>
      <w:tr w:rsidR="00D95A5F" w:rsidRPr="00D66AAC" w14:paraId="1376ACF6" w14:textId="77777777" w:rsidTr="004E5711">
        <w:trPr>
          <w:trHeight w:hRule="exact" w:val="397"/>
        </w:trPr>
        <w:tc>
          <w:tcPr>
            <w:tcW w:w="1352" w:type="dxa"/>
            <w:vAlign w:val="center"/>
          </w:tcPr>
          <w:p w14:paraId="083E2D1C" w14:textId="77777777" w:rsidR="00D95A5F" w:rsidRPr="00D66AAC" w:rsidRDefault="00D95A5F" w:rsidP="00E00F7B">
            <w:pPr>
              <w:rPr>
                <w:rFonts w:ascii="Rockwell" w:hAnsi="Rockwell"/>
                <w:sz w:val="24"/>
                <w:szCs w:val="24"/>
              </w:rPr>
            </w:pPr>
            <w:r w:rsidRPr="00D66AAC">
              <w:rPr>
                <w:rFonts w:ascii="Rockwell" w:hAnsi="Rockwell"/>
                <w:sz w:val="24"/>
                <w:szCs w:val="24"/>
              </w:rPr>
              <w:t>CT</w:t>
            </w:r>
          </w:p>
        </w:tc>
        <w:tc>
          <w:tcPr>
            <w:tcW w:w="344" w:type="dxa"/>
            <w:vAlign w:val="center"/>
          </w:tcPr>
          <w:p w14:paraId="54553D73"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65233A0B" w14:textId="77777777" w:rsidR="00D95A5F" w:rsidRPr="00D66AAC" w:rsidRDefault="00D95A5F" w:rsidP="00E00F7B">
            <w:pPr>
              <w:rPr>
                <w:rFonts w:ascii="Rockwell" w:hAnsi="Rockwell"/>
                <w:sz w:val="24"/>
                <w:szCs w:val="24"/>
              </w:rPr>
            </w:pPr>
            <w:r w:rsidRPr="00D66AAC">
              <w:rPr>
                <w:rFonts w:ascii="Rockwell" w:hAnsi="Rockwell"/>
                <w:sz w:val="24"/>
                <w:szCs w:val="24"/>
              </w:rPr>
              <w:t>Court Terme</w:t>
            </w:r>
          </w:p>
        </w:tc>
      </w:tr>
      <w:tr w:rsidR="00D95A5F" w:rsidRPr="00D66AAC" w14:paraId="4DFF03FC" w14:textId="77777777" w:rsidTr="004E5711">
        <w:trPr>
          <w:trHeight w:hRule="exact" w:val="397"/>
        </w:trPr>
        <w:tc>
          <w:tcPr>
            <w:tcW w:w="1352" w:type="dxa"/>
            <w:vAlign w:val="center"/>
          </w:tcPr>
          <w:p w14:paraId="4AD62199" w14:textId="77777777" w:rsidR="00D95A5F" w:rsidRPr="00D66AAC" w:rsidRDefault="00D95A5F" w:rsidP="00E00F7B">
            <w:pPr>
              <w:rPr>
                <w:rFonts w:ascii="Rockwell" w:hAnsi="Rockwell"/>
                <w:sz w:val="24"/>
                <w:szCs w:val="24"/>
              </w:rPr>
            </w:pPr>
            <w:r w:rsidRPr="00D66AAC">
              <w:rPr>
                <w:rFonts w:ascii="Rockwell" w:hAnsi="Rockwell"/>
                <w:sz w:val="24"/>
                <w:szCs w:val="24"/>
              </w:rPr>
              <w:t>LT</w:t>
            </w:r>
          </w:p>
        </w:tc>
        <w:tc>
          <w:tcPr>
            <w:tcW w:w="344" w:type="dxa"/>
            <w:vAlign w:val="center"/>
          </w:tcPr>
          <w:p w14:paraId="13D3C852"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EB8AE2F" w14:textId="77777777" w:rsidR="00D95A5F" w:rsidRPr="00D66AAC" w:rsidRDefault="00D95A5F" w:rsidP="00E00F7B">
            <w:pPr>
              <w:rPr>
                <w:rFonts w:ascii="Rockwell" w:hAnsi="Rockwell"/>
                <w:sz w:val="24"/>
                <w:szCs w:val="24"/>
              </w:rPr>
            </w:pPr>
            <w:r w:rsidRPr="00D66AAC">
              <w:rPr>
                <w:rFonts w:ascii="Rockwell" w:hAnsi="Rockwell"/>
                <w:sz w:val="24"/>
                <w:szCs w:val="24"/>
              </w:rPr>
              <w:t>Long Terme</w:t>
            </w:r>
          </w:p>
        </w:tc>
      </w:tr>
      <w:tr w:rsidR="00D95A5F" w:rsidRPr="00D66AAC" w14:paraId="476BFED3" w14:textId="77777777" w:rsidTr="004E5711">
        <w:trPr>
          <w:trHeight w:hRule="exact" w:val="397"/>
        </w:trPr>
        <w:tc>
          <w:tcPr>
            <w:tcW w:w="1352" w:type="dxa"/>
            <w:vAlign w:val="center"/>
          </w:tcPr>
          <w:p w14:paraId="4B48BC41" w14:textId="77777777" w:rsidR="00D95A5F" w:rsidRPr="00D66AAC" w:rsidRDefault="00D95A5F" w:rsidP="00E00F7B">
            <w:pPr>
              <w:rPr>
                <w:rFonts w:ascii="Rockwell" w:hAnsi="Rockwell"/>
                <w:sz w:val="24"/>
                <w:szCs w:val="24"/>
              </w:rPr>
            </w:pPr>
            <w:r w:rsidRPr="00D66AAC">
              <w:rPr>
                <w:rFonts w:ascii="Rockwell" w:hAnsi="Rockwell"/>
                <w:sz w:val="24"/>
                <w:szCs w:val="24"/>
              </w:rPr>
              <w:t>MAAHM</w:t>
            </w:r>
          </w:p>
        </w:tc>
        <w:tc>
          <w:tcPr>
            <w:tcW w:w="344" w:type="dxa"/>
            <w:vAlign w:val="center"/>
          </w:tcPr>
          <w:p w14:paraId="406ADE0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ED5B41F"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l’Agriculture, des Aménagements Hydro-agricoles et de la Mécanisation</w:t>
            </w:r>
          </w:p>
        </w:tc>
      </w:tr>
      <w:tr w:rsidR="00D95A5F" w:rsidRPr="00D66AAC" w14:paraId="4C7F7374" w14:textId="77777777" w:rsidTr="004E5711">
        <w:trPr>
          <w:trHeight w:hRule="exact" w:val="397"/>
        </w:trPr>
        <w:tc>
          <w:tcPr>
            <w:tcW w:w="1352" w:type="dxa"/>
            <w:vAlign w:val="center"/>
          </w:tcPr>
          <w:p w14:paraId="151BBE45" w14:textId="77777777" w:rsidR="00D95A5F" w:rsidRPr="00D66AAC" w:rsidRDefault="00D95A5F" w:rsidP="00E00F7B">
            <w:pPr>
              <w:rPr>
                <w:rFonts w:ascii="Rockwell" w:hAnsi="Rockwell"/>
                <w:sz w:val="24"/>
                <w:szCs w:val="24"/>
              </w:rPr>
            </w:pPr>
            <w:r w:rsidRPr="00D66AAC">
              <w:rPr>
                <w:rFonts w:ascii="Rockwell" w:hAnsi="Rockwell"/>
                <w:sz w:val="24"/>
                <w:szCs w:val="24"/>
              </w:rPr>
              <w:t>MATD</w:t>
            </w:r>
          </w:p>
        </w:tc>
        <w:tc>
          <w:tcPr>
            <w:tcW w:w="344" w:type="dxa"/>
            <w:vAlign w:val="center"/>
          </w:tcPr>
          <w:p w14:paraId="645F19D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2F6EE622"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l’Administration Territoriale et de la Décentralisation</w:t>
            </w:r>
          </w:p>
        </w:tc>
      </w:tr>
      <w:tr w:rsidR="00D95A5F" w:rsidRPr="00D66AAC" w14:paraId="30D0A8F9" w14:textId="77777777" w:rsidTr="004E5711">
        <w:trPr>
          <w:trHeight w:hRule="exact" w:val="397"/>
        </w:trPr>
        <w:tc>
          <w:tcPr>
            <w:tcW w:w="1352" w:type="dxa"/>
            <w:vAlign w:val="center"/>
          </w:tcPr>
          <w:p w14:paraId="507CFF75" w14:textId="77777777" w:rsidR="00D95A5F" w:rsidRPr="00D66AAC" w:rsidRDefault="00D95A5F" w:rsidP="00E00F7B">
            <w:pPr>
              <w:rPr>
                <w:rFonts w:ascii="Rockwell" w:hAnsi="Rockwell"/>
                <w:sz w:val="24"/>
                <w:szCs w:val="24"/>
              </w:rPr>
            </w:pPr>
            <w:r w:rsidRPr="00D66AAC">
              <w:rPr>
                <w:rFonts w:ascii="Rockwell" w:hAnsi="Rockwell"/>
                <w:sz w:val="24"/>
                <w:szCs w:val="24"/>
              </w:rPr>
              <w:t>MEA</w:t>
            </w:r>
          </w:p>
        </w:tc>
        <w:tc>
          <w:tcPr>
            <w:tcW w:w="344" w:type="dxa"/>
            <w:vAlign w:val="center"/>
          </w:tcPr>
          <w:p w14:paraId="66610EE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486C217"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l’Eau et de l’Assainissement</w:t>
            </w:r>
          </w:p>
        </w:tc>
      </w:tr>
      <w:tr w:rsidR="00D95A5F" w:rsidRPr="00D66AAC" w14:paraId="70BC219B" w14:textId="77777777" w:rsidTr="004E5711">
        <w:trPr>
          <w:trHeight w:hRule="exact" w:val="397"/>
        </w:trPr>
        <w:tc>
          <w:tcPr>
            <w:tcW w:w="1352" w:type="dxa"/>
            <w:vAlign w:val="center"/>
          </w:tcPr>
          <w:p w14:paraId="4FEF3046" w14:textId="77777777" w:rsidR="00D95A5F" w:rsidRPr="00D66AAC" w:rsidRDefault="00D95A5F" w:rsidP="00E00F7B">
            <w:pPr>
              <w:rPr>
                <w:rFonts w:ascii="Rockwell" w:hAnsi="Rockwell"/>
                <w:sz w:val="24"/>
                <w:szCs w:val="24"/>
              </w:rPr>
            </w:pPr>
            <w:r w:rsidRPr="00D66AAC">
              <w:rPr>
                <w:rFonts w:ascii="Rockwell" w:hAnsi="Rockwell"/>
                <w:sz w:val="24"/>
                <w:szCs w:val="24"/>
              </w:rPr>
              <w:t>MEEVCC</w:t>
            </w:r>
          </w:p>
        </w:tc>
        <w:tc>
          <w:tcPr>
            <w:tcW w:w="344" w:type="dxa"/>
            <w:vAlign w:val="center"/>
          </w:tcPr>
          <w:p w14:paraId="261BC2C6"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120BFB80"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l’Environnement ; de l’Economie Verte, et du Changement Climatique</w:t>
            </w:r>
          </w:p>
        </w:tc>
      </w:tr>
      <w:tr w:rsidR="00D95A5F" w:rsidRPr="00D66AAC" w14:paraId="20706497" w14:textId="77777777" w:rsidTr="004E5711">
        <w:trPr>
          <w:trHeight w:hRule="exact" w:val="397"/>
        </w:trPr>
        <w:tc>
          <w:tcPr>
            <w:tcW w:w="1352" w:type="dxa"/>
            <w:vAlign w:val="center"/>
          </w:tcPr>
          <w:p w14:paraId="7C623BC7" w14:textId="77777777" w:rsidR="00D95A5F" w:rsidRPr="00D66AAC" w:rsidRDefault="00D95A5F" w:rsidP="00E00F7B">
            <w:pPr>
              <w:rPr>
                <w:rFonts w:ascii="Rockwell" w:hAnsi="Rockwell"/>
                <w:sz w:val="24"/>
                <w:szCs w:val="24"/>
              </w:rPr>
            </w:pPr>
            <w:r w:rsidRPr="00D66AAC">
              <w:rPr>
                <w:rFonts w:ascii="Rockwell" w:hAnsi="Rockwell"/>
                <w:sz w:val="24"/>
                <w:szCs w:val="24"/>
              </w:rPr>
              <w:t>MENAPLN</w:t>
            </w:r>
          </w:p>
        </w:tc>
        <w:tc>
          <w:tcPr>
            <w:tcW w:w="344" w:type="dxa"/>
            <w:vAlign w:val="center"/>
          </w:tcPr>
          <w:p w14:paraId="5F9C46E3" w14:textId="77777777" w:rsidR="00D95A5F" w:rsidRPr="00D66AAC" w:rsidRDefault="00D95A5F" w:rsidP="00E00F7B">
            <w:pPr>
              <w:rPr>
                <w:rFonts w:ascii="Rockwell" w:hAnsi="Rockwell"/>
                <w:sz w:val="24"/>
                <w:szCs w:val="24"/>
              </w:rPr>
            </w:pPr>
          </w:p>
        </w:tc>
        <w:tc>
          <w:tcPr>
            <w:tcW w:w="7366" w:type="dxa"/>
            <w:vAlign w:val="center"/>
          </w:tcPr>
          <w:p w14:paraId="09586D93" w14:textId="77777777" w:rsidR="00D95A5F" w:rsidRPr="00D66AAC" w:rsidRDefault="00D95A5F" w:rsidP="00E00F7B">
            <w:pPr>
              <w:rPr>
                <w:rFonts w:ascii="Rockwell" w:hAnsi="Rockwell"/>
                <w:sz w:val="24"/>
                <w:szCs w:val="24"/>
              </w:rPr>
            </w:pPr>
            <w:r w:rsidRPr="00D66AAC">
              <w:rPr>
                <w:rFonts w:ascii="Rockwell" w:hAnsi="Rockwell" w:cs="Arial"/>
                <w:sz w:val="24"/>
                <w:szCs w:val="24"/>
                <w:shd w:val="clear" w:color="auto" w:fill="FFFFFF"/>
              </w:rPr>
              <w:t>Ministère de l'Education Nationale, de l'Alphabétisation et de la Promotion des Langues Nationales</w:t>
            </w:r>
          </w:p>
        </w:tc>
      </w:tr>
      <w:tr w:rsidR="00D95A5F" w:rsidRPr="00D66AAC" w14:paraId="1883EBAE" w14:textId="77777777" w:rsidTr="004E5711">
        <w:trPr>
          <w:trHeight w:hRule="exact" w:val="397"/>
        </w:trPr>
        <w:tc>
          <w:tcPr>
            <w:tcW w:w="1352" w:type="dxa"/>
            <w:vAlign w:val="center"/>
          </w:tcPr>
          <w:p w14:paraId="12CFB393" w14:textId="77777777" w:rsidR="00D95A5F" w:rsidRPr="00D66AAC" w:rsidRDefault="00D95A5F" w:rsidP="00E00F7B">
            <w:pPr>
              <w:rPr>
                <w:rFonts w:ascii="Rockwell" w:hAnsi="Rockwell"/>
                <w:sz w:val="24"/>
                <w:szCs w:val="24"/>
              </w:rPr>
            </w:pPr>
            <w:r w:rsidRPr="00D66AAC">
              <w:rPr>
                <w:rFonts w:ascii="Rockwell" w:hAnsi="Rockwell"/>
                <w:sz w:val="24"/>
                <w:szCs w:val="24"/>
              </w:rPr>
              <w:t>MESRSI</w:t>
            </w:r>
          </w:p>
        </w:tc>
        <w:tc>
          <w:tcPr>
            <w:tcW w:w="344" w:type="dxa"/>
            <w:vAlign w:val="center"/>
          </w:tcPr>
          <w:p w14:paraId="4528C327"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47D38436"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l’Enseignement Supérieur, de la Recherche Scientifique et de l’Innovation</w:t>
            </w:r>
          </w:p>
        </w:tc>
      </w:tr>
      <w:tr w:rsidR="00D95A5F" w:rsidRPr="00D66AAC" w14:paraId="3C9A89D8" w14:textId="77777777" w:rsidTr="004E5711">
        <w:trPr>
          <w:trHeight w:hRule="exact" w:val="397"/>
        </w:trPr>
        <w:tc>
          <w:tcPr>
            <w:tcW w:w="1352" w:type="dxa"/>
            <w:vAlign w:val="center"/>
          </w:tcPr>
          <w:p w14:paraId="17F52072" w14:textId="77777777" w:rsidR="00D95A5F" w:rsidRPr="00D66AAC" w:rsidRDefault="00D95A5F" w:rsidP="00E00F7B">
            <w:pPr>
              <w:rPr>
                <w:rFonts w:ascii="Rockwell" w:hAnsi="Rockwell"/>
                <w:sz w:val="24"/>
                <w:szCs w:val="24"/>
              </w:rPr>
            </w:pPr>
            <w:r w:rsidRPr="00D66AAC">
              <w:rPr>
                <w:rFonts w:ascii="Rockwell" w:hAnsi="Rockwell"/>
                <w:sz w:val="24"/>
                <w:szCs w:val="24"/>
                <w:lang w:val="en-US"/>
              </w:rPr>
              <w:t>MFSNFAH</w:t>
            </w:r>
          </w:p>
        </w:tc>
        <w:tc>
          <w:tcPr>
            <w:tcW w:w="344" w:type="dxa"/>
            <w:vAlign w:val="center"/>
          </w:tcPr>
          <w:p w14:paraId="31EA6BAA" w14:textId="77777777" w:rsidR="00D95A5F" w:rsidRPr="00D66AAC" w:rsidRDefault="00D95A5F" w:rsidP="00E00F7B">
            <w:pPr>
              <w:rPr>
                <w:rFonts w:ascii="Rockwell" w:hAnsi="Rockwell"/>
                <w:sz w:val="24"/>
                <w:szCs w:val="24"/>
              </w:rPr>
            </w:pPr>
          </w:p>
        </w:tc>
        <w:tc>
          <w:tcPr>
            <w:tcW w:w="7366" w:type="dxa"/>
            <w:vAlign w:val="center"/>
          </w:tcPr>
          <w:p w14:paraId="09311FB8" w14:textId="5A08EC04" w:rsidR="00D95A5F" w:rsidRPr="00D66AAC" w:rsidRDefault="00D95A5F" w:rsidP="00F37C0E">
            <w:pPr>
              <w:rPr>
                <w:rFonts w:ascii="Rockwell" w:hAnsi="Rockwell"/>
                <w:sz w:val="24"/>
                <w:szCs w:val="24"/>
              </w:rPr>
            </w:pPr>
            <w:r w:rsidRPr="00D66AAC">
              <w:rPr>
                <w:rFonts w:ascii="Rockwell" w:hAnsi="Rockwell" w:cstheme="minorBidi"/>
                <w:sz w:val="24"/>
                <w:szCs w:val="24"/>
              </w:rPr>
              <w:t xml:space="preserve">Ministre de la Femme, de la Solidarité </w:t>
            </w:r>
            <w:r w:rsidR="00F37C0E">
              <w:rPr>
                <w:rFonts w:ascii="Rockwell" w:hAnsi="Rockwell" w:cstheme="minorBidi"/>
                <w:sz w:val="24"/>
                <w:szCs w:val="24"/>
              </w:rPr>
              <w:t>N</w:t>
            </w:r>
            <w:r w:rsidRPr="00D66AAC">
              <w:rPr>
                <w:rFonts w:ascii="Rockwell" w:hAnsi="Rockwell" w:cstheme="minorBidi"/>
                <w:sz w:val="24"/>
                <w:szCs w:val="24"/>
              </w:rPr>
              <w:t xml:space="preserve">ationale, de la Famille et de l’Action </w:t>
            </w:r>
            <w:r w:rsidRPr="00D66AAC">
              <w:rPr>
                <w:rFonts w:ascii="Rockwell" w:hAnsi="Rockwell"/>
                <w:sz w:val="24"/>
                <w:szCs w:val="24"/>
              </w:rPr>
              <w:t>H</w:t>
            </w:r>
            <w:r w:rsidRPr="00D66AAC">
              <w:rPr>
                <w:rFonts w:ascii="Rockwell" w:hAnsi="Rockwell" w:cstheme="minorBidi"/>
                <w:sz w:val="24"/>
                <w:szCs w:val="24"/>
              </w:rPr>
              <w:t>umanitaire</w:t>
            </w:r>
          </w:p>
        </w:tc>
      </w:tr>
      <w:tr w:rsidR="00D95A5F" w:rsidRPr="00D66AAC" w14:paraId="79644C39" w14:textId="77777777" w:rsidTr="004E5711">
        <w:trPr>
          <w:trHeight w:hRule="exact" w:val="397"/>
        </w:trPr>
        <w:tc>
          <w:tcPr>
            <w:tcW w:w="1352" w:type="dxa"/>
            <w:vAlign w:val="center"/>
          </w:tcPr>
          <w:p w14:paraId="0FA6FF8F" w14:textId="77777777" w:rsidR="00D95A5F" w:rsidRPr="00D66AAC" w:rsidRDefault="00D95A5F" w:rsidP="00E00F7B">
            <w:pPr>
              <w:rPr>
                <w:rFonts w:ascii="Rockwell" w:hAnsi="Rockwell"/>
                <w:sz w:val="24"/>
                <w:szCs w:val="24"/>
              </w:rPr>
            </w:pPr>
            <w:r w:rsidRPr="00D66AAC">
              <w:rPr>
                <w:rFonts w:ascii="Rockwell" w:hAnsi="Rockwell"/>
                <w:sz w:val="24"/>
                <w:szCs w:val="24"/>
              </w:rPr>
              <w:t>MICA</w:t>
            </w:r>
          </w:p>
        </w:tc>
        <w:tc>
          <w:tcPr>
            <w:tcW w:w="344" w:type="dxa"/>
            <w:vAlign w:val="center"/>
          </w:tcPr>
          <w:p w14:paraId="14A6CD7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E262B9F" w14:textId="77777777" w:rsidR="00D95A5F" w:rsidRPr="00D66AAC" w:rsidRDefault="00D95A5F" w:rsidP="00E00F7B">
            <w:pPr>
              <w:rPr>
                <w:rFonts w:ascii="Rockwell" w:hAnsi="Rockwell"/>
                <w:sz w:val="24"/>
                <w:szCs w:val="24"/>
              </w:rPr>
            </w:pPr>
            <w:r w:rsidRPr="00D66AAC">
              <w:rPr>
                <w:rFonts w:ascii="Rockwell" w:hAnsi="Rockwell"/>
                <w:sz w:val="24"/>
                <w:szCs w:val="24"/>
              </w:rPr>
              <w:t>Ministère de l’Industrie, du Commerce et de l’Artisanat</w:t>
            </w:r>
          </w:p>
        </w:tc>
      </w:tr>
      <w:tr w:rsidR="00D95A5F" w:rsidRPr="00D66AAC" w14:paraId="336B0379" w14:textId="77777777" w:rsidTr="004E5711">
        <w:trPr>
          <w:trHeight w:hRule="exact" w:val="397"/>
        </w:trPr>
        <w:tc>
          <w:tcPr>
            <w:tcW w:w="1352" w:type="dxa"/>
            <w:vAlign w:val="center"/>
          </w:tcPr>
          <w:p w14:paraId="17CD2244" w14:textId="77777777" w:rsidR="00D95A5F" w:rsidRPr="00D66AAC" w:rsidRDefault="00D95A5F" w:rsidP="00E00F7B">
            <w:pPr>
              <w:rPr>
                <w:rFonts w:ascii="Rockwell" w:hAnsi="Rockwell"/>
                <w:sz w:val="24"/>
                <w:szCs w:val="24"/>
              </w:rPr>
            </w:pPr>
            <w:r w:rsidRPr="00D66AAC">
              <w:rPr>
                <w:rFonts w:ascii="Rockwell" w:hAnsi="Rockwell"/>
                <w:sz w:val="24"/>
                <w:szCs w:val="24"/>
              </w:rPr>
              <w:t>MINEFID</w:t>
            </w:r>
          </w:p>
        </w:tc>
        <w:tc>
          <w:tcPr>
            <w:tcW w:w="344" w:type="dxa"/>
            <w:vAlign w:val="center"/>
          </w:tcPr>
          <w:p w14:paraId="33A85269"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B6E5977"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l’Economie, des Finances et du Développement</w:t>
            </w:r>
          </w:p>
        </w:tc>
      </w:tr>
      <w:tr w:rsidR="00D95A5F" w:rsidRPr="00D66AAC" w14:paraId="2F8F2471" w14:textId="77777777" w:rsidTr="004E5711">
        <w:trPr>
          <w:trHeight w:hRule="exact" w:val="397"/>
        </w:trPr>
        <w:tc>
          <w:tcPr>
            <w:tcW w:w="1352" w:type="dxa"/>
            <w:vAlign w:val="center"/>
          </w:tcPr>
          <w:p w14:paraId="2B70F93F" w14:textId="77777777" w:rsidR="00D95A5F" w:rsidRPr="00D66AAC" w:rsidRDefault="00D95A5F" w:rsidP="00E00F7B">
            <w:pPr>
              <w:rPr>
                <w:rFonts w:ascii="Rockwell" w:hAnsi="Rockwell"/>
                <w:sz w:val="24"/>
                <w:szCs w:val="24"/>
              </w:rPr>
            </w:pPr>
            <w:r w:rsidRPr="00D66AAC">
              <w:rPr>
                <w:rFonts w:ascii="Rockwell" w:hAnsi="Rockwell"/>
                <w:sz w:val="24"/>
                <w:szCs w:val="24"/>
              </w:rPr>
              <w:t>MRAH</w:t>
            </w:r>
          </w:p>
        </w:tc>
        <w:tc>
          <w:tcPr>
            <w:tcW w:w="344" w:type="dxa"/>
            <w:vAlign w:val="center"/>
          </w:tcPr>
          <w:p w14:paraId="2816B9E2"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0AE5DE55" w14:textId="77777777" w:rsidR="00D95A5F" w:rsidRPr="00D66AAC" w:rsidRDefault="00D95A5F" w:rsidP="00E00F7B">
            <w:pPr>
              <w:rPr>
                <w:rFonts w:ascii="Rockwell" w:hAnsi="Rockwell"/>
                <w:sz w:val="24"/>
                <w:szCs w:val="24"/>
              </w:rPr>
            </w:pPr>
            <w:r w:rsidRPr="00D66AAC">
              <w:rPr>
                <w:rFonts w:ascii="Rockwell" w:hAnsi="Rockwell"/>
                <w:sz w:val="24"/>
                <w:szCs w:val="24"/>
              </w:rPr>
              <w:t>Ministère des Ressources Animales et Halieutiques</w:t>
            </w:r>
          </w:p>
        </w:tc>
      </w:tr>
      <w:tr w:rsidR="00D95A5F" w:rsidRPr="00D66AAC" w14:paraId="6522555C" w14:textId="77777777" w:rsidTr="004E5711">
        <w:trPr>
          <w:trHeight w:hRule="exact" w:val="397"/>
        </w:trPr>
        <w:tc>
          <w:tcPr>
            <w:tcW w:w="1352" w:type="dxa"/>
            <w:vAlign w:val="center"/>
          </w:tcPr>
          <w:p w14:paraId="2175DA6B" w14:textId="77777777" w:rsidR="00D95A5F" w:rsidRPr="00D66AAC" w:rsidRDefault="00D95A5F" w:rsidP="00E00F7B">
            <w:pPr>
              <w:rPr>
                <w:rFonts w:ascii="Rockwell" w:hAnsi="Rockwell"/>
                <w:sz w:val="24"/>
                <w:szCs w:val="24"/>
              </w:rPr>
            </w:pPr>
            <w:r w:rsidRPr="00D66AAC">
              <w:rPr>
                <w:rFonts w:ascii="Rockwell" w:hAnsi="Rockwell"/>
                <w:sz w:val="24"/>
                <w:szCs w:val="24"/>
              </w:rPr>
              <w:t>MS</w:t>
            </w:r>
          </w:p>
        </w:tc>
        <w:tc>
          <w:tcPr>
            <w:tcW w:w="344" w:type="dxa"/>
            <w:vAlign w:val="center"/>
          </w:tcPr>
          <w:p w14:paraId="41490CC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2A7BA980"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 Santé</w:t>
            </w:r>
          </w:p>
        </w:tc>
      </w:tr>
      <w:tr w:rsidR="00D95A5F" w:rsidRPr="00D66AAC" w14:paraId="40C33D84" w14:textId="77777777" w:rsidTr="004E5711">
        <w:trPr>
          <w:trHeight w:hRule="exact" w:val="397"/>
        </w:trPr>
        <w:tc>
          <w:tcPr>
            <w:tcW w:w="1352" w:type="dxa"/>
            <w:vAlign w:val="center"/>
          </w:tcPr>
          <w:p w14:paraId="71319DA9" w14:textId="77777777" w:rsidR="00D95A5F" w:rsidRPr="00D66AAC" w:rsidRDefault="00D95A5F" w:rsidP="00E00F7B">
            <w:pPr>
              <w:rPr>
                <w:rFonts w:ascii="Rockwell" w:hAnsi="Rockwell"/>
                <w:sz w:val="24"/>
                <w:szCs w:val="24"/>
              </w:rPr>
            </w:pPr>
            <w:r w:rsidRPr="00D66AAC">
              <w:rPr>
                <w:rFonts w:ascii="Rockwell" w:hAnsi="Rockwell"/>
                <w:sz w:val="24"/>
                <w:szCs w:val="24"/>
              </w:rPr>
              <w:t>MT</w:t>
            </w:r>
          </w:p>
        </w:tc>
        <w:tc>
          <w:tcPr>
            <w:tcW w:w="344" w:type="dxa"/>
            <w:vAlign w:val="center"/>
          </w:tcPr>
          <w:p w14:paraId="177A442C"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4896157D" w14:textId="77777777" w:rsidR="00D95A5F" w:rsidRPr="00D66AAC" w:rsidRDefault="00D95A5F" w:rsidP="00E00F7B">
            <w:pPr>
              <w:rPr>
                <w:rFonts w:ascii="Rockwell" w:hAnsi="Rockwell"/>
                <w:sz w:val="24"/>
                <w:szCs w:val="24"/>
              </w:rPr>
            </w:pPr>
            <w:r w:rsidRPr="00D66AAC">
              <w:rPr>
                <w:rFonts w:ascii="Rockwell" w:hAnsi="Rockwell"/>
                <w:sz w:val="24"/>
                <w:szCs w:val="24"/>
              </w:rPr>
              <w:t>Moyen Terme</w:t>
            </w:r>
          </w:p>
        </w:tc>
      </w:tr>
      <w:tr w:rsidR="00D95A5F" w:rsidRPr="00D66AAC" w14:paraId="7578F3BD" w14:textId="77777777" w:rsidTr="004E5711">
        <w:trPr>
          <w:trHeight w:hRule="exact" w:val="397"/>
        </w:trPr>
        <w:tc>
          <w:tcPr>
            <w:tcW w:w="1352" w:type="dxa"/>
            <w:vAlign w:val="center"/>
          </w:tcPr>
          <w:p w14:paraId="1D1BDA61" w14:textId="77777777" w:rsidR="00D95A5F" w:rsidRPr="00D66AAC" w:rsidRDefault="00D95A5F" w:rsidP="00E00F7B">
            <w:pPr>
              <w:rPr>
                <w:rFonts w:ascii="Rockwell" w:hAnsi="Rockwell"/>
                <w:sz w:val="24"/>
                <w:szCs w:val="24"/>
              </w:rPr>
            </w:pPr>
            <w:r w:rsidRPr="00D66AAC">
              <w:rPr>
                <w:rFonts w:ascii="Rockwell" w:hAnsi="Rockwell"/>
                <w:sz w:val="24"/>
                <w:szCs w:val="24"/>
                <w:lang w:val="en-US"/>
              </w:rPr>
              <w:t>MTMUSR</w:t>
            </w:r>
          </w:p>
        </w:tc>
        <w:tc>
          <w:tcPr>
            <w:tcW w:w="344" w:type="dxa"/>
            <w:vAlign w:val="center"/>
          </w:tcPr>
          <w:p w14:paraId="50958484" w14:textId="77777777" w:rsidR="00D95A5F" w:rsidRPr="00D66AAC" w:rsidRDefault="00D95A5F" w:rsidP="00E00F7B">
            <w:pPr>
              <w:rPr>
                <w:rFonts w:ascii="Rockwell" w:hAnsi="Rockwell"/>
                <w:sz w:val="24"/>
                <w:szCs w:val="24"/>
              </w:rPr>
            </w:pPr>
          </w:p>
        </w:tc>
        <w:tc>
          <w:tcPr>
            <w:tcW w:w="7366" w:type="dxa"/>
            <w:vAlign w:val="center"/>
          </w:tcPr>
          <w:p w14:paraId="1309AE86" w14:textId="77777777" w:rsidR="00D95A5F" w:rsidRPr="00D66AAC" w:rsidRDefault="00D95A5F" w:rsidP="00E00F7B">
            <w:pPr>
              <w:rPr>
                <w:rFonts w:ascii="Rockwell" w:hAnsi="Rockwell"/>
                <w:sz w:val="24"/>
                <w:szCs w:val="24"/>
              </w:rPr>
            </w:pPr>
            <w:r w:rsidRPr="00D66AAC">
              <w:rPr>
                <w:rFonts w:ascii="Rockwell" w:hAnsi="Rockwell"/>
                <w:sz w:val="24"/>
                <w:szCs w:val="24"/>
              </w:rPr>
              <w:t>Ministère des Transports, de la Mobilité Urbaine et de la Sécurité Routière</w:t>
            </w:r>
          </w:p>
        </w:tc>
      </w:tr>
      <w:tr w:rsidR="00D95A5F" w:rsidRPr="00D66AAC" w14:paraId="244F5F1B" w14:textId="77777777" w:rsidTr="004E5711">
        <w:trPr>
          <w:trHeight w:hRule="exact" w:val="397"/>
        </w:trPr>
        <w:tc>
          <w:tcPr>
            <w:tcW w:w="1352" w:type="dxa"/>
            <w:vAlign w:val="center"/>
          </w:tcPr>
          <w:p w14:paraId="3C2B882E" w14:textId="77777777" w:rsidR="00D95A5F" w:rsidRPr="00D66AAC" w:rsidRDefault="00D95A5F" w:rsidP="00E00F7B">
            <w:pPr>
              <w:rPr>
                <w:rFonts w:ascii="Rockwell" w:hAnsi="Rockwell"/>
                <w:sz w:val="24"/>
                <w:szCs w:val="24"/>
              </w:rPr>
            </w:pPr>
            <w:r w:rsidRPr="00D66AAC">
              <w:rPr>
                <w:rFonts w:ascii="Rockwell" w:hAnsi="Rockwell"/>
                <w:sz w:val="24"/>
                <w:szCs w:val="24"/>
              </w:rPr>
              <w:t>ONG</w:t>
            </w:r>
          </w:p>
        </w:tc>
        <w:tc>
          <w:tcPr>
            <w:tcW w:w="344" w:type="dxa"/>
            <w:vAlign w:val="center"/>
          </w:tcPr>
          <w:p w14:paraId="6D14238D"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8A4C611" w14:textId="22874C7F" w:rsidR="00D95A5F" w:rsidRPr="00D66AAC" w:rsidRDefault="00D95A5F" w:rsidP="00B42BB7">
            <w:pPr>
              <w:rPr>
                <w:rFonts w:ascii="Rockwell" w:hAnsi="Rockwell"/>
                <w:sz w:val="24"/>
                <w:szCs w:val="24"/>
              </w:rPr>
            </w:pPr>
            <w:r w:rsidRPr="00D66AAC">
              <w:rPr>
                <w:rFonts w:ascii="Rockwell" w:hAnsi="Rockwell"/>
                <w:sz w:val="24"/>
                <w:szCs w:val="24"/>
              </w:rPr>
              <w:t>Organis</w:t>
            </w:r>
            <w:r w:rsidR="00B42BB7">
              <w:rPr>
                <w:rFonts w:ascii="Rockwell" w:hAnsi="Rockwell"/>
                <w:sz w:val="24"/>
                <w:szCs w:val="24"/>
              </w:rPr>
              <w:t>ation</w:t>
            </w:r>
            <w:r w:rsidRPr="00D66AAC">
              <w:rPr>
                <w:rFonts w:ascii="Rockwell" w:hAnsi="Rockwell"/>
                <w:sz w:val="24"/>
                <w:szCs w:val="24"/>
              </w:rPr>
              <w:t xml:space="preserve"> Non Gouvernemental</w:t>
            </w:r>
            <w:r w:rsidR="00B42BB7">
              <w:rPr>
                <w:rFonts w:ascii="Rockwell" w:hAnsi="Rockwell"/>
                <w:sz w:val="24"/>
                <w:szCs w:val="24"/>
              </w:rPr>
              <w:t>e</w:t>
            </w:r>
          </w:p>
        </w:tc>
      </w:tr>
      <w:tr w:rsidR="00D95A5F" w:rsidRPr="00D66AAC" w14:paraId="67620493" w14:textId="77777777" w:rsidTr="004E5711">
        <w:trPr>
          <w:trHeight w:hRule="exact" w:val="397"/>
        </w:trPr>
        <w:tc>
          <w:tcPr>
            <w:tcW w:w="1352" w:type="dxa"/>
            <w:vAlign w:val="center"/>
          </w:tcPr>
          <w:p w14:paraId="14005BFD" w14:textId="77777777" w:rsidR="00D95A5F" w:rsidRPr="00D66AAC" w:rsidRDefault="00D95A5F" w:rsidP="00E00F7B">
            <w:pPr>
              <w:rPr>
                <w:rFonts w:ascii="Rockwell" w:hAnsi="Rockwell"/>
                <w:sz w:val="24"/>
                <w:szCs w:val="24"/>
              </w:rPr>
            </w:pPr>
            <w:r w:rsidRPr="00D66AAC">
              <w:rPr>
                <w:rFonts w:ascii="Rockwell" w:hAnsi="Rockwell"/>
                <w:sz w:val="24"/>
                <w:szCs w:val="24"/>
              </w:rPr>
              <w:t>OPA</w:t>
            </w:r>
          </w:p>
        </w:tc>
        <w:tc>
          <w:tcPr>
            <w:tcW w:w="344" w:type="dxa"/>
            <w:vAlign w:val="center"/>
          </w:tcPr>
          <w:p w14:paraId="6CD5AFD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CC75DB0" w14:textId="64550E5A" w:rsidR="00D95A5F" w:rsidRPr="00D66AAC" w:rsidRDefault="00D95A5F" w:rsidP="00B42BB7">
            <w:pPr>
              <w:rPr>
                <w:rFonts w:ascii="Rockwell" w:hAnsi="Rockwell"/>
                <w:sz w:val="24"/>
                <w:szCs w:val="24"/>
              </w:rPr>
            </w:pPr>
            <w:r w:rsidRPr="00D66AAC">
              <w:rPr>
                <w:rFonts w:ascii="Rockwell" w:hAnsi="Rockwell"/>
                <w:sz w:val="24"/>
                <w:szCs w:val="24"/>
              </w:rPr>
              <w:t>Organisation Professionnelle Agricole</w:t>
            </w:r>
          </w:p>
        </w:tc>
      </w:tr>
      <w:tr w:rsidR="00D95A5F" w:rsidRPr="00D66AAC" w14:paraId="79EAD504" w14:textId="77777777" w:rsidTr="004E5711">
        <w:trPr>
          <w:trHeight w:hRule="exact" w:val="397"/>
        </w:trPr>
        <w:tc>
          <w:tcPr>
            <w:tcW w:w="1352" w:type="dxa"/>
            <w:vAlign w:val="center"/>
          </w:tcPr>
          <w:p w14:paraId="36565ADD" w14:textId="77777777" w:rsidR="00D95A5F" w:rsidRPr="00D66AAC" w:rsidRDefault="00D95A5F" w:rsidP="00E00F7B">
            <w:pPr>
              <w:rPr>
                <w:rFonts w:ascii="Rockwell" w:hAnsi="Rockwell"/>
                <w:sz w:val="24"/>
                <w:szCs w:val="24"/>
              </w:rPr>
            </w:pPr>
            <w:r w:rsidRPr="00D66AAC">
              <w:rPr>
                <w:rFonts w:ascii="Rockwell" w:hAnsi="Rockwell"/>
                <w:sz w:val="24"/>
                <w:szCs w:val="24"/>
              </w:rPr>
              <w:t>OSC</w:t>
            </w:r>
          </w:p>
        </w:tc>
        <w:tc>
          <w:tcPr>
            <w:tcW w:w="344" w:type="dxa"/>
            <w:vAlign w:val="center"/>
          </w:tcPr>
          <w:p w14:paraId="29E8937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A6F465A" w14:textId="77777777" w:rsidR="00D95A5F" w:rsidRPr="00D66AAC" w:rsidRDefault="00D95A5F" w:rsidP="00E00F7B">
            <w:pPr>
              <w:rPr>
                <w:rFonts w:ascii="Rockwell" w:hAnsi="Rockwell"/>
                <w:sz w:val="24"/>
                <w:szCs w:val="24"/>
              </w:rPr>
            </w:pPr>
            <w:r w:rsidRPr="00D66AAC">
              <w:rPr>
                <w:rFonts w:ascii="Rockwell" w:hAnsi="Rockwell"/>
                <w:sz w:val="24"/>
                <w:szCs w:val="24"/>
              </w:rPr>
              <w:t>Organisation de la Société Civile</w:t>
            </w:r>
          </w:p>
        </w:tc>
      </w:tr>
      <w:tr w:rsidR="00D95A5F" w:rsidRPr="00D66AAC" w14:paraId="5A77CAA8" w14:textId="77777777" w:rsidTr="004E5711">
        <w:trPr>
          <w:trHeight w:hRule="exact" w:val="397"/>
        </w:trPr>
        <w:tc>
          <w:tcPr>
            <w:tcW w:w="1352" w:type="dxa"/>
            <w:vAlign w:val="center"/>
          </w:tcPr>
          <w:p w14:paraId="40FAF0FD" w14:textId="77777777" w:rsidR="00D95A5F" w:rsidRPr="00D66AAC" w:rsidRDefault="00D95A5F" w:rsidP="00E00F7B">
            <w:pPr>
              <w:rPr>
                <w:rFonts w:ascii="Rockwell" w:hAnsi="Rockwell"/>
                <w:sz w:val="24"/>
                <w:szCs w:val="24"/>
              </w:rPr>
            </w:pPr>
            <w:r w:rsidRPr="00D66AAC">
              <w:rPr>
                <w:rFonts w:ascii="Rockwell" w:hAnsi="Rockwell"/>
                <w:sz w:val="24"/>
                <w:szCs w:val="24"/>
              </w:rPr>
              <w:t>PTF</w:t>
            </w:r>
          </w:p>
        </w:tc>
        <w:tc>
          <w:tcPr>
            <w:tcW w:w="344" w:type="dxa"/>
            <w:vAlign w:val="center"/>
          </w:tcPr>
          <w:p w14:paraId="75FC0188"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FD3C6A0" w14:textId="77777777" w:rsidR="00D95A5F" w:rsidRPr="00D66AAC" w:rsidRDefault="00D95A5F" w:rsidP="00E00F7B">
            <w:pPr>
              <w:rPr>
                <w:rFonts w:ascii="Rockwell" w:hAnsi="Rockwell"/>
                <w:sz w:val="24"/>
                <w:szCs w:val="24"/>
              </w:rPr>
            </w:pPr>
            <w:r w:rsidRPr="00D66AAC">
              <w:rPr>
                <w:rFonts w:ascii="Rockwell" w:hAnsi="Rockwell"/>
                <w:sz w:val="24"/>
                <w:szCs w:val="24"/>
              </w:rPr>
              <w:t>Partenaires Techniques et Financiers</w:t>
            </w:r>
          </w:p>
        </w:tc>
      </w:tr>
    </w:tbl>
    <w:p w14:paraId="399B321B" w14:textId="77777777" w:rsidR="00167039" w:rsidRDefault="00167039">
      <w:pPr>
        <w:spacing w:after="160" w:line="259" w:lineRule="auto"/>
        <w:rPr>
          <w:rFonts w:ascii="Times New Roman" w:hAnsi="Times New Roman"/>
          <w:sz w:val="24"/>
          <w:szCs w:val="24"/>
        </w:rPr>
      </w:pPr>
    </w:p>
    <w:p w14:paraId="2F23D637" w14:textId="77777777" w:rsidR="00D95A5F" w:rsidRDefault="00D95A5F">
      <w:pPr>
        <w:spacing w:after="160" w:line="259" w:lineRule="auto"/>
        <w:rPr>
          <w:rFonts w:ascii="Times New Roman" w:hAnsi="Times New Roman"/>
          <w:sz w:val="24"/>
          <w:szCs w:val="24"/>
        </w:rPr>
        <w:sectPr w:rsidR="00D95A5F" w:rsidSect="00AA16B6">
          <w:pgSz w:w="11906" w:h="16838"/>
          <w:pgMar w:top="1417" w:right="1417" w:bottom="1417" w:left="1417" w:header="708" w:footer="708" w:gutter="0"/>
          <w:pgNumType w:start="1"/>
          <w:cols w:space="708"/>
          <w:titlePg/>
          <w:docGrid w:linePitch="360"/>
        </w:sectPr>
      </w:pPr>
    </w:p>
    <w:p w14:paraId="304ADBB1" w14:textId="392CC6F1" w:rsidR="00C648C3" w:rsidRPr="007D2F0F" w:rsidRDefault="007D2F0F" w:rsidP="007D2F0F">
      <w:pPr>
        <w:pStyle w:val="Titre1"/>
        <w:spacing w:after="240" w:line="276" w:lineRule="auto"/>
        <w:rPr>
          <w:rFonts w:ascii="Rockwell" w:hAnsi="Rockwell" w:cs="Times New Roman"/>
          <w:b/>
          <w:color w:val="auto"/>
          <w:sz w:val="26"/>
          <w:szCs w:val="26"/>
        </w:rPr>
      </w:pPr>
      <w:bookmarkStart w:id="7" w:name="_Toc80701287"/>
      <w:bookmarkStart w:id="8" w:name="_Toc80701575"/>
      <w:bookmarkStart w:id="9" w:name="_Toc82164346"/>
      <w:bookmarkEnd w:id="6"/>
      <w:bookmarkEnd w:id="5"/>
      <w:bookmarkEnd w:id="4"/>
      <w:bookmarkEnd w:id="3"/>
      <w:bookmarkEnd w:id="2"/>
      <w:bookmarkEnd w:id="1"/>
      <w:r w:rsidRPr="007D2F0F">
        <w:rPr>
          <w:rFonts w:ascii="Rockwell" w:hAnsi="Rockwell" w:cs="Times New Roman"/>
          <w:b/>
          <w:color w:val="auto"/>
          <w:sz w:val="26"/>
          <w:szCs w:val="26"/>
        </w:rPr>
        <w:lastRenderedPageBreak/>
        <w:t>CONTEXTE</w:t>
      </w:r>
      <w:bookmarkEnd w:id="7"/>
      <w:bookmarkEnd w:id="8"/>
      <w:bookmarkEnd w:id="9"/>
      <w:r w:rsidRPr="007D2F0F">
        <w:rPr>
          <w:rFonts w:ascii="Rockwell" w:hAnsi="Rockwell" w:cs="Times New Roman"/>
          <w:b/>
          <w:color w:val="auto"/>
          <w:sz w:val="26"/>
          <w:szCs w:val="26"/>
        </w:rPr>
        <w:t xml:space="preserve"> </w:t>
      </w:r>
    </w:p>
    <w:p w14:paraId="27F5C1B9" w14:textId="4896B7E7" w:rsidR="005F5FFD" w:rsidRPr="007D2F0F" w:rsidRDefault="001D6A69" w:rsidP="007D2F0F">
      <w:pPr>
        <w:spacing w:after="240" w:line="276" w:lineRule="auto"/>
        <w:jc w:val="both"/>
        <w:rPr>
          <w:rFonts w:ascii="Rockwell" w:hAnsi="Rockwell"/>
          <w:sz w:val="26"/>
          <w:szCs w:val="26"/>
        </w:rPr>
      </w:pPr>
      <w:r w:rsidRPr="007D2F0F">
        <w:rPr>
          <w:rFonts w:ascii="Rockwell" w:hAnsi="Rockwell"/>
          <w:bCs/>
          <w:sz w:val="26"/>
          <w:szCs w:val="26"/>
        </w:rPr>
        <w:t>Le contexte mondial actuel avec ses nombreux enjeux et défis que rencontre</w:t>
      </w:r>
      <w:r w:rsidR="00585C1F">
        <w:rPr>
          <w:rFonts w:ascii="Rockwell" w:hAnsi="Rockwell"/>
          <w:bCs/>
          <w:sz w:val="26"/>
          <w:szCs w:val="26"/>
        </w:rPr>
        <w:t>nt</w:t>
      </w:r>
      <w:r w:rsidRPr="007D2F0F">
        <w:rPr>
          <w:rFonts w:ascii="Rockwell" w:hAnsi="Rockwell"/>
          <w:bCs/>
          <w:sz w:val="26"/>
          <w:szCs w:val="26"/>
        </w:rPr>
        <w:t xml:space="preserve"> l’Agricultu</w:t>
      </w:r>
      <w:r w:rsidR="00585C1F">
        <w:rPr>
          <w:rFonts w:ascii="Rockwell" w:hAnsi="Rockwell"/>
          <w:bCs/>
          <w:sz w:val="26"/>
          <w:szCs w:val="26"/>
        </w:rPr>
        <w:t>re, l’Environnement et la Santé ;</w:t>
      </w:r>
      <w:r w:rsidRPr="007D2F0F">
        <w:rPr>
          <w:rFonts w:ascii="Rockwell" w:hAnsi="Rockwell"/>
          <w:bCs/>
          <w:sz w:val="26"/>
          <w:szCs w:val="26"/>
        </w:rPr>
        <w:t xml:space="preserve"> les Systèmes Alimentaires constituent une préoccupation majeure aux échelles internationales et nationales.</w:t>
      </w:r>
      <w:r w:rsidR="00AF66FB" w:rsidRPr="007D2F0F">
        <w:rPr>
          <w:rFonts w:ascii="Rockwell" w:hAnsi="Rockwell"/>
          <w:bCs/>
          <w:sz w:val="26"/>
          <w:szCs w:val="26"/>
        </w:rPr>
        <w:t xml:space="preserve"> </w:t>
      </w:r>
      <w:r w:rsidRPr="007D2F0F">
        <w:rPr>
          <w:rFonts w:ascii="Rockwell" w:hAnsi="Rockwell"/>
          <w:bCs/>
          <w:sz w:val="26"/>
          <w:szCs w:val="26"/>
        </w:rPr>
        <w:t>Au regard d’un tel contexte, en 2019, le Secrétaire Général des Nations Unies a lancé un appel en vue de la convocation d’un Sommet sur les Systèmes Alimentaires et de l’ouverture d’un processus d’engagements afin de libérer le pouvoir des aliments et progresser vers la réalisation des 17 Objectifs de Développement Durable (ODD) des Nations Unies.</w:t>
      </w:r>
      <w:r w:rsidR="00AF66FB" w:rsidRPr="007D2F0F">
        <w:rPr>
          <w:rFonts w:ascii="Rockwell" w:hAnsi="Rockwell"/>
          <w:bCs/>
          <w:sz w:val="26"/>
          <w:szCs w:val="26"/>
        </w:rPr>
        <w:t xml:space="preserve"> </w:t>
      </w:r>
      <w:r w:rsidR="00790326" w:rsidRPr="007D2F0F">
        <w:rPr>
          <w:rFonts w:ascii="Rockwell" w:hAnsi="Rockwell"/>
          <w:bCs/>
          <w:sz w:val="26"/>
          <w:szCs w:val="26"/>
        </w:rPr>
        <w:t xml:space="preserve">C’est dans </w:t>
      </w:r>
      <w:r w:rsidR="00C05386" w:rsidRPr="007D2F0F">
        <w:rPr>
          <w:rFonts w:ascii="Rockwell" w:hAnsi="Rockwell"/>
          <w:bCs/>
          <w:sz w:val="26"/>
          <w:szCs w:val="26"/>
        </w:rPr>
        <w:t>cette optique</w:t>
      </w:r>
      <w:r w:rsidR="00790326" w:rsidRPr="007D2F0F">
        <w:rPr>
          <w:rFonts w:ascii="Rockwell" w:hAnsi="Rockwell"/>
          <w:bCs/>
          <w:sz w:val="26"/>
          <w:szCs w:val="26"/>
        </w:rPr>
        <w:t xml:space="preserve"> que se tient</w:t>
      </w:r>
      <w:r w:rsidRPr="007D2F0F">
        <w:rPr>
          <w:rFonts w:ascii="Rockwell" w:hAnsi="Rockwell"/>
          <w:bCs/>
          <w:sz w:val="26"/>
          <w:szCs w:val="26"/>
        </w:rPr>
        <w:t xml:space="preserve"> à New </w:t>
      </w:r>
      <w:r w:rsidR="00C05386" w:rsidRPr="007D2F0F">
        <w:rPr>
          <w:rFonts w:ascii="Rockwell" w:hAnsi="Rockwell"/>
          <w:bCs/>
          <w:sz w:val="26"/>
          <w:szCs w:val="26"/>
        </w:rPr>
        <w:t xml:space="preserve">York, </w:t>
      </w:r>
      <w:r w:rsidRPr="007D2F0F">
        <w:rPr>
          <w:rFonts w:ascii="Rockwell" w:hAnsi="Rockwell"/>
          <w:bCs/>
          <w:sz w:val="26"/>
          <w:szCs w:val="26"/>
        </w:rPr>
        <w:t>dans le cadre de la 76</w:t>
      </w:r>
      <w:r w:rsidRPr="007D2F0F">
        <w:rPr>
          <w:rFonts w:ascii="Rockwell" w:hAnsi="Rockwell"/>
          <w:bCs/>
          <w:sz w:val="26"/>
          <w:szCs w:val="26"/>
          <w:vertAlign w:val="superscript"/>
        </w:rPr>
        <w:t>ème</w:t>
      </w:r>
      <w:r w:rsidRPr="007D2F0F">
        <w:rPr>
          <w:rFonts w:ascii="Rockwell" w:hAnsi="Rockwell"/>
          <w:bCs/>
          <w:sz w:val="26"/>
          <w:szCs w:val="26"/>
        </w:rPr>
        <w:t xml:space="preserve"> Assemblée Générale des Nations Unies</w:t>
      </w:r>
      <w:r w:rsidR="00790326" w:rsidRPr="007D2F0F">
        <w:rPr>
          <w:rFonts w:ascii="Rockwell" w:hAnsi="Rockwell"/>
          <w:bCs/>
          <w:sz w:val="26"/>
          <w:szCs w:val="26"/>
        </w:rPr>
        <w:t>,</w:t>
      </w:r>
      <w:r w:rsidRPr="007D2F0F">
        <w:rPr>
          <w:rFonts w:ascii="Rockwell" w:hAnsi="Rockwell"/>
          <w:bCs/>
          <w:sz w:val="26"/>
          <w:szCs w:val="26"/>
        </w:rPr>
        <w:t xml:space="preserve"> le Premier Sommet Mondial sur les Systèmes Alimentaires. </w:t>
      </w:r>
      <w:r w:rsidR="00C05386" w:rsidRPr="007D2F0F">
        <w:rPr>
          <w:rFonts w:ascii="Rockwell" w:hAnsi="Rockwell"/>
          <w:bCs/>
          <w:sz w:val="26"/>
          <w:szCs w:val="26"/>
        </w:rPr>
        <w:t>En vue de sa participation réussie au dit sommet, l</w:t>
      </w:r>
      <w:r w:rsidR="00790326" w:rsidRPr="007D2F0F">
        <w:rPr>
          <w:rFonts w:ascii="Rockwell" w:hAnsi="Rockwell"/>
          <w:bCs/>
          <w:sz w:val="26"/>
          <w:szCs w:val="26"/>
        </w:rPr>
        <w:t xml:space="preserve">e Burkina Faso, a </w:t>
      </w:r>
      <w:r w:rsidR="00E174C6" w:rsidRPr="007D2F0F">
        <w:rPr>
          <w:rFonts w:ascii="Rockwell" w:hAnsi="Rockwell"/>
          <w:bCs/>
          <w:sz w:val="26"/>
          <w:szCs w:val="26"/>
        </w:rPr>
        <w:t>tenu trois</w:t>
      </w:r>
      <w:r w:rsidR="00AF08A1" w:rsidRPr="007D2F0F">
        <w:rPr>
          <w:rFonts w:ascii="Rockwell" w:hAnsi="Rockwell"/>
          <w:bCs/>
          <w:sz w:val="26"/>
          <w:szCs w:val="26"/>
        </w:rPr>
        <w:t xml:space="preserve"> </w:t>
      </w:r>
      <w:r w:rsidR="00790326" w:rsidRPr="007D2F0F">
        <w:rPr>
          <w:rFonts w:ascii="Rockwell" w:hAnsi="Rockwell"/>
          <w:bCs/>
          <w:sz w:val="26"/>
          <w:szCs w:val="26"/>
        </w:rPr>
        <w:t>concertations multis</w:t>
      </w:r>
      <w:r w:rsidRPr="007D2F0F">
        <w:rPr>
          <w:rFonts w:ascii="Rockwell" w:hAnsi="Rockwell"/>
          <w:bCs/>
          <w:sz w:val="26"/>
          <w:szCs w:val="26"/>
        </w:rPr>
        <w:t>ectorielles et inclusives sous l’égide d</w:t>
      </w:r>
      <w:r w:rsidR="00AF08A1" w:rsidRPr="007D2F0F">
        <w:rPr>
          <w:rFonts w:ascii="Rockwell" w:hAnsi="Rockwell"/>
          <w:bCs/>
          <w:sz w:val="26"/>
          <w:szCs w:val="26"/>
        </w:rPr>
        <w:t xml:space="preserve">e </w:t>
      </w:r>
      <w:r w:rsidR="00E174C6" w:rsidRPr="007D2F0F">
        <w:rPr>
          <w:rFonts w:ascii="Rockwell" w:hAnsi="Rockwell"/>
          <w:bCs/>
          <w:sz w:val="26"/>
          <w:szCs w:val="26"/>
        </w:rPr>
        <w:t>la Coordination</w:t>
      </w:r>
      <w:r w:rsidRPr="007D2F0F">
        <w:rPr>
          <w:rFonts w:ascii="Rockwell" w:hAnsi="Rockwell"/>
          <w:bCs/>
          <w:sz w:val="26"/>
          <w:szCs w:val="26"/>
        </w:rPr>
        <w:t xml:space="preserve"> </w:t>
      </w:r>
      <w:r w:rsidR="00AF08A1" w:rsidRPr="007D2F0F">
        <w:rPr>
          <w:rFonts w:ascii="Rockwell" w:hAnsi="Rockwell"/>
          <w:bCs/>
          <w:sz w:val="26"/>
          <w:szCs w:val="26"/>
        </w:rPr>
        <w:t>N</w:t>
      </w:r>
      <w:r w:rsidRPr="007D2F0F">
        <w:rPr>
          <w:rFonts w:ascii="Rockwell" w:hAnsi="Rockwell"/>
          <w:bCs/>
          <w:sz w:val="26"/>
          <w:szCs w:val="26"/>
        </w:rPr>
        <w:t>ationale</w:t>
      </w:r>
      <w:r w:rsidR="00350CA5">
        <w:rPr>
          <w:rFonts w:ascii="Rockwell" w:hAnsi="Rockwell"/>
          <w:bCs/>
          <w:sz w:val="26"/>
          <w:szCs w:val="26"/>
        </w:rPr>
        <w:t xml:space="preserve"> des concertations</w:t>
      </w:r>
      <w:r w:rsidR="00790326" w:rsidRPr="007D2F0F">
        <w:rPr>
          <w:rFonts w:ascii="Rockwell" w:hAnsi="Rockwell"/>
          <w:bCs/>
          <w:sz w:val="26"/>
          <w:szCs w:val="26"/>
        </w:rPr>
        <w:t xml:space="preserve">. A l’issue de ce processus, les acteurs et les parties prenantes ont d’une part relevé les contraintes majeures qui affectent les différents maillons des systèmes alimentaires ; </w:t>
      </w:r>
      <w:r w:rsidR="006F3A2D" w:rsidRPr="007D2F0F">
        <w:rPr>
          <w:rFonts w:ascii="Rockwell" w:hAnsi="Rockwell"/>
          <w:bCs/>
          <w:sz w:val="26"/>
          <w:szCs w:val="26"/>
        </w:rPr>
        <w:t xml:space="preserve">et </w:t>
      </w:r>
      <w:r w:rsidR="00790326" w:rsidRPr="007D2F0F">
        <w:rPr>
          <w:rFonts w:ascii="Rockwell" w:hAnsi="Rockwell"/>
          <w:bCs/>
          <w:sz w:val="26"/>
          <w:szCs w:val="26"/>
        </w:rPr>
        <w:t>d’autre part</w:t>
      </w:r>
      <w:r w:rsidR="006F3A2D" w:rsidRPr="007D2F0F">
        <w:rPr>
          <w:rFonts w:ascii="Rockwell" w:hAnsi="Rockwell"/>
          <w:bCs/>
          <w:sz w:val="26"/>
          <w:szCs w:val="26"/>
        </w:rPr>
        <w:t xml:space="preserve">, </w:t>
      </w:r>
      <w:r w:rsidR="00790326" w:rsidRPr="007D2F0F">
        <w:rPr>
          <w:rFonts w:ascii="Rockwell" w:hAnsi="Rockwell"/>
          <w:bCs/>
          <w:sz w:val="26"/>
          <w:szCs w:val="26"/>
        </w:rPr>
        <w:t xml:space="preserve">proposé des actions stratégiques et opérationnelles pour des </w:t>
      </w:r>
      <w:r w:rsidR="00AF08A1" w:rsidRPr="007D2F0F">
        <w:rPr>
          <w:rFonts w:ascii="Rockwell" w:hAnsi="Rockwell"/>
          <w:bCs/>
          <w:sz w:val="26"/>
          <w:szCs w:val="26"/>
        </w:rPr>
        <w:t>S</w:t>
      </w:r>
      <w:r w:rsidR="00790326" w:rsidRPr="007D2F0F">
        <w:rPr>
          <w:rFonts w:ascii="Rockwell" w:hAnsi="Rockwell"/>
          <w:bCs/>
          <w:sz w:val="26"/>
          <w:szCs w:val="26"/>
        </w:rPr>
        <w:t xml:space="preserve">ystèmes </w:t>
      </w:r>
      <w:r w:rsidR="00AF08A1" w:rsidRPr="007D2F0F">
        <w:rPr>
          <w:rFonts w:ascii="Rockwell" w:hAnsi="Rockwell"/>
          <w:bCs/>
          <w:sz w:val="26"/>
          <w:szCs w:val="26"/>
        </w:rPr>
        <w:t>A</w:t>
      </w:r>
      <w:r w:rsidR="00790326" w:rsidRPr="007D2F0F">
        <w:rPr>
          <w:rFonts w:ascii="Rockwell" w:hAnsi="Rockwell"/>
          <w:bCs/>
          <w:sz w:val="26"/>
          <w:szCs w:val="26"/>
        </w:rPr>
        <w:t xml:space="preserve">limentaires durables, résilients </w:t>
      </w:r>
      <w:r w:rsidR="00C05386" w:rsidRPr="007D2F0F">
        <w:rPr>
          <w:rFonts w:ascii="Rockwell" w:hAnsi="Rockwell"/>
          <w:bCs/>
          <w:sz w:val="26"/>
          <w:szCs w:val="26"/>
        </w:rPr>
        <w:t>et équitables à même de soutenir l’</w:t>
      </w:r>
      <w:r w:rsidR="00AF08A1" w:rsidRPr="007D2F0F">
        <w:rPr>
          <w:rFonts w:ascii="Rockwell" w:hAnsi="Rockwell"/>
          <w:bCs/>
          <w:sz w:val="26"/>
          <w:szCs w:val="26"/>
        </w:rPr>
        <w:t>A</w:t>
      </w:r>
      <w:r w:rsidR="00C05386" w:rsidRPr="007D2F0F">
        <w:rPr>
          <w:rFonts w:ascii="Rockwell" w:hAnsi="Rockwell"/>
          <w:bCs/>
          <w:sz w:val="26"/>
          <w:szCs w:val="26"/>
        </w:rPr>
        <w:t>genda 2030.</w:t>
      </w:r>
      <w:r w:rsidR="00AF66FB" w:rsidRPr="007D2F0F">
        <w:rPr>
          <w:rFonts w:ascii="Rockwell" w:hAnsi="Rockwell"/>
          <w:sz w:val="26"/>
          <w:szCs w:val="26"/>
        </w:rPr>
        <w:t xml:space="preserve"> </w:t>
      </w:r>
      <w:r w:rsidR="00C05386" w:rsidRPr="007D2F0F">
        <w:rPr>
          <w:rFonts w:ascii="Rockwell" w:hAnsi="Rockwell"/>
          <w:sz w:val="26"/>
          <w:szCs w:val="26"/>
        </w:rPr>
        <w:t>La présente</w:t>
      </w:r>
      <w:r w:rsidR="00AF08A1" w:rsidRPr="007D2F0F">
        <w:rPr>
          <w:rFonts w:ascii="Rockwell" w:hAnsi="Rockwell"/>
          <w:sz w:val="26"/>
          <w:szCs w:val="26"/>
        </w:rPr>
        <w:t xml:space="preserve"> Voie </w:t>
      </w:r>
      <w:r w:rsidR="00585C1F" w:rsidRPr="007D2F0F">
        <w:rPr>
          <w:rFonts w:ascii="Rockwell" w:hAnsi="Rockwell"/>
          <w:sz w:val="26"/>
          <w:szCs w:val="26"/>
        </w:rPr>
        <w:t xml:space="preserve">nationale </w:t>
      </w:r>
      <w:r w:rsidR="00AF08A1" w:rsidRPr="007D2F0F">
        <w:rPr>
          <w:rFonts w:ascii="Rockwell" w:hAnsi="Rockwell"/>
          <w:sz w:val="26"/>
          <w:szCs w:val="26"/>
        </w:rPr>
        <w:t xml:space="preserve">et </w:t>
      </w:r>
      <w:r w:rsidR="00E174C6" w:rsidRPr="007D2F0F">
        <w:rPr>
          <w:rFonts w:ascii="Rockwell" w:hAnsi="Rockwell"/>
          <w:sz w:val="26"/>
          <w:szCs w:val="26"/>
        </w:rPr>
        <w:t>sa Feuille</w:t>
      </w:r>
      <w:r w:rsidR="00C05386" w:rsidRPr="007D2F0F">
        <w:rPr>
          <w:rFonts w:ascii="Rockwell" w:hAnsi="Rockwell"/>
          <w:sz w:val="26"/>
          <w:szCs w:val="26"/>
        </w:rPr>
        <w:t xml:space="preserve"> </w:t>
      </w:r>
      <w:r w:rsidR="00CF061C" w:rsidRPr="007D2F0F">
        <w:rPr>
          <w:rFonts w:ascii="Rockwell" w:hAnsi="Rockwell"/>
          <w:sz w:val="26"/>
          <w:szCs w:val="26"/>
        </w:rPr>
        <w:t>de route</w:t>
      </w:r>
      <w:r w:rsidR="00AF08A1" w:rsidRPr="007D2F0F">
        <w:rPr>
          <w:rFonts w:ascii="Rockwell" w:hAnsi="Rockwell"/>
          <w:sz w:val="26"/>
          <w:szCs w:val="26"/>
        </w:rPr>
        <w:t xml:space="preserve"> </w:t>
      </w:r>
      <w:r w:rsidR="00C05386" w:rsidRPr="007D2F0F">
        <w:rPr>
          <w:rFonts w:ascii="Rockwell" w:hAnsi="Rockwell"/>
          <w:sz w:val="26"/>
          <w:szCs w:val="26"/>
        </w:rPr>
        <w:t xml:space="preserve">décline les engagements et </w:t>
      </w:r>
      <w:r w:rsidR="001E42A3" w:rsidRPr="007D2F0F">
        <w:rPr>
          <w:rFonts w:ascii="Rockwell" w:hAnsi="Rockwell"/>
          <w:sz w:val="26"/>
          <w:szCs w:val="26"/>
        </w:rPr>
        <w:t xml:space="preserve">les </w:t>
      </w:r>
      <w:r w:rsidR="00C05386" w:rsidRPr="007D2F0F">
        <w:rPr>
          <w:rFonts w:ascii="Rockwell" w:hAnsi="Rockwell"/>
          <w:sz w:val="26"/>
          <w:szCs w:val="26"/>
        </w:rPr>
        <w:t xml:space="preserve">actions à mettre en œuvre durant la décennie </w:t>
      </w:r>
      <w:r w:rsidR="00C648C3" w:rsidRPr="007D2F0F">
        <w:rPr>
          <w:rFonts w:ascii="Rockwell" w:hAnsi="Rockwell"/>
          <w:sz w:val="26"/>
          <w:szCs w:val="26"/>
        </w:rPr>
        <w:t>à venir</w:t>
      </w:r>
      <w:r w:rsidR="00AF08A1" w:rsidRPr="007D2F0F">
        <w:rPr>
          <w:rFonts w:ascii="Rockwell" w:hAnsi="Rockwell"/>
          <w:sz w:val="26"/>
          <w:szCs w:val="26"/>
        </w:rPr>
        <w:t xml:space="preserve"> sur la base des potentialités et des défis à relever. </w:t>
      </w:r>
    </w:p>
    <w:p w14:paraId="4AEA86BB" w14:textId="0B0B14B3" w:rsidR="005F5FFD"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10" w:name="_Toc80650212"/>
      <w:bookmarkStart w:id="11" w:name="_Toc80650435"/>
      <w:bookmarkStart w:id="12" w:name="_Toc80650463"/>
      <w:bookmarkStart w:id="13" w:name="_Toc80701288"/>
      <w:bookmarkStart w:id="14" w:name="_Toc80701576"/>
      <w:bookmarkStart w:id="15" w:name="_Toc82164347"/>
      <w:r w:rsidRPr="007D2F0F">
        <w:rPr>
          <w:rFonts w:ascii="Rockwell" w:hAnsi="Rockwell" w:cs="Times New Roman"/>
          <w:b/>
          <w:color w:val="auto"/>
          <w:sz w:val="26"/>
          <w:szCs w:val="26"/>
        </w:rPr>
        <w:t>APERÇU DE L’ETAT ACTUEL DES SYSTEMES ALIMENTAIRES AU BURKINA FASO</w:t>
      </w:r>
      <w:bookmarkEnd w:id="10"/>
      <w:bookmarkEnd w:id="11"/>
      <w:bookmarkEnd w:id="12"/>
      <w:bookmarkEnd w:id="13"/>
      <w:bookmarkEnd w:id="14"/>
      <w:bookmarkEnd w:id="15"/>
    </w:p>
    <w:p w14:paraId="480A2DA5" w14:textId="77777777" w:rsidR="00C5019C" w:rsidRDefault="00467EA6" w:rsidP="007D2F0F">
      <w:pPr>
        <w:spacing w:after="240" w:line="276" w:lineRule="auto"/>
        <w:jc w:val="both"/>
        <w:rPr>
          <w:rFonts w:ascii="Rockwell" w:hAnsi="Rockwell"/>
          <w:sz w:val="26"/>
          <w:szCs w:val="26"/>
        </w:rPr>
      </w:pPr>
      <w:r w:rsidRPr="007D2F0F">
        <w:rPr>
          <w:rFonts w:ascii="Rockwell" w:hAnsi="Rockwell"/>
          <w:sz w:val="26"/>
          <w:szCs w:val="26"/>
        </w:rPr>
        <w:t xml:space="preserve">L’analyse des </w:t>
      </w:r>
      <w:r w:rsidR="00E15B7F" w:rsidRPr="007D2F0F">
        <w:rPr>
          <w:rFonts w:ascii="Rockwell" w:hAnsi="Rockwell"/>
          <w:sz w:val="26"/>
          <w:szCs w:val="26"/>
        </w:rPr>
        <w:t>S</w:t>
      </w:r>
      <w:r w:rsidRPr="007D2F0F">
        <w:rPr>
          <w:rFonts w:ascii="Rockwell" w:hAnsi="Rockwell"/>
          <w:sz w:val="26"/>
          <w:szCs w:val="26"/>
        </w:rPr>
        <w:t xml:space="preserve">ystèmes </w:t>
      </w:r>
      <w:r w:rsidR="00E15B7F" w:rsidRPr="007D2F0F">
        <w:rPr>
          <w:rFonts w:ascii="Rockwell" w:hAnsi="Rockwell"/>
          <w:sz w:val="26"/>
          <w:szCs w:val="26"/>
        </w:rPr>
        <w:t>A</w:t>
      </w:r>
      <w:r w:rsidRPr="007D2F0F">
        <w:rPr>
          <w:rFonts w:ascii="Rockwell" w:hAnsi="Rockwell"/>
          <w:sz w:val="26"/>
          <w:szCs w:val="26"/>
        </w:rPr>
        <w:t>limentaires fait ressortir</w:t>
      </w:r>
      <w:r w:rsidR="0087468A" w:rsidRPr="007D2F0F">
        <w:rPr>
          <w:rFonts w:ascii="Rockwell" w:hAnsi="Rockwell"/>
          <w:sz w:val="26"/>
          <w:szCs w:val="26"/>
        </w:rPr>
        <w:t xml:space="preserve"> des </w:t>
      </w:r>
      <w:r w:rsidR="002F284A" w:rsidRPr="007D2F0F">
        <w:rPr>
          <w:rFonts w:ascii="Rockwell" w:hAnsi="Rockwell"/>
          <w:sz w:val="26"/>
          <w:szCs w:val="26"/>
        </w:rPr>
        <w:t xml:space="preserve">potentialités </w:t>
      </w:r>
      <w:r w:rsidR="0087468A" w:rsidRPr="007D2F0F">
        <w:rPr>
          <w:rFonts w:ascii="Rockwell" w:hAnsi="Rockwell"/>
          <w:sz w:val="26"/>
          <w:szCs w:val="26"/>
        </w:rPr>
        <w:t>mais aussi des</w:t>
      </w:r>
      <w:r w:rsidR="00AF08A1" w:rsidRPr="007D2F0F">
        <w:rPr>
          <w:rFonts w:ascii="Rockwell" w:hAnsi="Rockwell"/>
          <w:sz w:val="26"/>
          <w:szCs w:val="26"/>
        </w:rPr>
        <w:t xml:space="preserve"> défis</w:t>
      </w:r>
      <w:r w:rsidR="0087468A" w:rsidRPr="007D2F0F">
        <w:rPr>
          <w:rFonts w:ascii="Rockwell" w:hAnsi="Rockwell"/>
          <w:sz w:val="26"/>
          <w:szCs w:val="26"/>
        </w:rPr>
        <w:t>.</w:t>
      </w:r>
      <w:r w:rsidR="00AF66FB" w:rsidRPr="007D2F0F">
        <w:rPr>
          <w:rFonts w:ascii="Rockwell" w:hAnsi="Rockwell"/>
          <w:sz w:val="26"/>
          <w:szCs w:val="26"/>
        </w:rPr>
        <w:t xml:space="preserve"> </w:t>
      </w:r>
      <w:r w:rsidR="002F284A" w:rsidRPr="007D2F0F">
        <w:rPr>
          <w:rFonts w:ascii="Rockwell" w:hAnsi="Rockwell"/>
          <w:sz w:val="26"/>
          <w:szCs w:val="26"/>
        </w:rPr>
        <w:t>En termes de potentialités, le secteur agro-sylvo-pastoral, halieutique et faunique bénéficie de</w:t>
      </w:r>
      <w:r w:rsidR="00C5019C">
        <w:rPr>
          <w:rFonts w:ascii="Rockwell" w:hAnsi="Rockwell"/>
          <w:sz w:val="26"/>
          <w:szCs w:val="26"/>
        </w:rPr>
        <w:t xml:space="preserve"> : </w:t>
      </w:r>
    </w:p>
    <w:p w14:paraId="3440AAA7" w14:textId="1359C813" w:rsidR="00C5019C" w:rsidRP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d'un potentiel faiblement exploité en terres arables </w:t>
      </w:r>
      <w:r w:rsidR="00AF08A1" w:rsidRPr="00C5019C">
        <w:rPr>
          <w:rFonts w:ascii="Rockwell" w:hAnsi="Rockwell"/>
          <w:sz w:val="26"/>
          <w:szCs w:val="26"/>
        </w:rPr>
        <w:t xml:space="preserve">d’environ </w:t>
      </w:r>
      <w:r w:rsidRPr="00C5019C">
        <w:rPr>
          <w:rFonts w:ascii="Rockwell" w:hAnsi="Rockwell"/>
          <w:sz w:val="26"/>
          <w:szCs w:val="26"/>
        </w:rPr>
        <w:t xml:space="preserve">9 millions </w:t>
      </w:r>
      <w:r w:rsidR="00585C1F">
        <w:rPr>
          <w:rFonts w:ascii="Rockwell" w:hAnsi="Rockwell"/>
          <w:sz w:val="26"/>
          <w:szCs w:val="26"/>
        </w:rPr>
        <w:t>d’</w:t>
      </w:r>
      <w:r w:rsidRPr="00C5019C">
        <w:rPr>
          <w:rFonts w:ascii="Rockwell" w:hAnsi="Rockwell"/>
          <w:sz w:val="26"/>
          <w:szCs w:val="26"/>
        </w:rPr>
        <w:t xml:space="preserve">ha, de terres irrigables de </w:t>
      </w:r>
      <w:r w:rsidR="00AF08A1" w:rsidRPr="00C5019C">
        <w:rPr>
          <w:rFonts w:ascii="Rockwell" w:hAnsi="Rockwell"/>
          <w:sz w:val="26"/>
          <w:szCs w:val="26"/>
        </w:rPr>
        <w:t xml:space="preserve">plus de </w:t>
      </w:r>
      <w:r w:rsidRPr="00C5019C">
        <w:rPr>
          <w:rFonts w:ascii="Rockwell" w:hAnsi="Rockwell"/>
          <w:sz w:val="26"/>
          <w:szCs w:val="26"/>
        </w:rPr>
        <w:t xml:space="preserve">233 500 ha </w:t>
      </w:r>
      <w:r w:rsidR="00AF08A1" w:rsidRPr="00C5019C">
        <w:rPr>
          <w:rFonts w:ascii="Rockwell" w:hAnsi="Rockwell"/>
          <w:sz w:val="26"/>
          <w:szCs w:val="26"/>
        </w:rPr>
        <w:t xml:space="preserve">ainsi que de </w:t>
      </w:r>
      <w:r w:rsidRPr="00C5019C">
        <w:rPr>
          <w:rFonts w:ascii="Rockwell" w:hAnsi="Rockwell"/>
          <w:sz w:val="26"/>
          <w:szCs w:val="26"/>
        </w:rPr>
        <w:t xml:space="preserve">bas-fonds </w:t>
      </w:r>
      <w:r w:rsidR="00AF08A1" w:rsidRPr="00C5019C">
        <w:rPr>
          <w:rFonts w:ascii="Rockwell" w:hAnsi="Rockwell"/>
          <w:sz w:val="26"/>
          <w:szCs w:val="26"/>
        </w:rPr>
        <w:t>de l’ordre</w:t>
      </w:r>
      <w:r w:rsidR="00DC2A4F" w:rsidRPr="00C5019C">
        <w:rPr>
          <w:rFonts w:ascii="Rockwell" w:hAnsi="Rockwell"/>
          <w:sz w:val="26"/>
          <w:szCs w:val="26"/>
        </w:rPr>
        <w:t xml:space="preserve"> de </w:t>
      </w:r>
      <w:r w:rsidRPr="00C5019C">
        <w:rPr>
          <w:rFonts w:ascii="Rockwell" w:hAnsi="Rockwell"/>
          <w:sz w:val="26"/>
          <w:szCs w:val="26"/>
        </w:rPr>
        <w:t>500 000 ha facilement aménageables</w:t>
      </w:r>
      <w:r w:rsidR="00B44427" w:rsidRPr="00C5019C">
        <w:rPr>
          <w:rFonts w:ascii="Rockwell" w:hAnsi="Rockwell"/>
          <w:sz w:val="26"/>
          <w:szCs w:val="26"/>
        </w:rPr>
        <w:t xml:space="preserve"> </w:t>
      </w:r>
      <w:r w:rsidRPr="00C5019C">
        <w:rPr>
          <w:rFonts w:ascii="Rockwell" w:hAnsi="Rockwell"/>
          <w:sz w:val="26"/>
          <w:szCs w:val="26"/>
        </w:rPr>
        <w:t xml:space="preserve">; </w:t>
      </w:r>
    </w:p>
    <w:p w14:paraId="6F81D7C0" w14:textId="32662D97"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d’environ 1 200 plans d’eau (barrages, lacs, mares) </w:t>
      </w:r>
      <w:r w:rsidR="007F5D84" w:rsidRPr="00C5019C">
        <w:rPr>
          <w:rFonts w:ascii="Rockwell" w:hAnsi="Rockwell"/>
          <w:sz w:val="26"/>
          <w:szCs w:val="26"/>
        </w:rPr>
        <w:t xml:space="preserve">avec une capacité de stockage de plus de six </w:t>
      </w:r>
      <w:r w:rsidRPr="00C5019C">
        <w:rPr>
          <w:rFonts w:ascii="Rockwell" w:hAnsi="Rockwell"/>
          <w:sz w:val="26"/>
          <w:szCs w:val="26"/>
        </w:rPr>
        <w:t>(</w:t>
      </w:r>
      <w:r w:rsidR="007F5D84" w:rsidRPr="00C5019C">
        <w:rPr>
          <w:rFonts w:ascii="Rockwell" w:hAnsi="Rockwell"/>
          <w:sz w:val="26"/>
          <w:szCs w:val="26"/>
        </w:rPr>
        <w:t>06</w:t>
      </w:r>
      <w:r w:rsidRPr="00C5019C">
        <w:rPr>
          <w:rFonts w:ascii="Rockwell" w:hAnsi="Rockwell"/>
          <w:sz w:val="26"/>
          <w:szCs w:val="26"/>
        </w:rPr>
        <w:t>) milliards de mètres cube</w:t>
      </w:r>
      <w:r w:rsidR="002F1C05">
        <w:rPr>
          <w:rFonts w:ascii="Rockwell" w:hAnsi="Rockwell"/>
          <w:sz w:val="26"/>
          <w:szCs w:val="26"/>
        </w:rPr>
        <w:t>s</w:t>
      </w:r>
      <w:r w:rsidRPr="00C5019C">
        <w:rPr>
          <w:rFonts w:ascii="Rockwell" w:hAnsi="Rockwell"/>
          <w:sz w:val="26"/>
          <w:szCs w:val="26"/>
        </w:rPr>
        <w:t xml:space="preserve"> d’eau de surface par an pour le développement </w:t>
      </w:r>
      <w:r w:rsidR="007F5D84" w:rsidRPr="00C5019C">
        <w:rPr>
          <w:rFonts w:ascii="Rockwell" w:hAnsi="Rockwell"/>
          <w:sz w:val="26"/>
          <w:szCs w:val="26"/>
        </w:rPr>
        <w:t xml:space="preserve">de l’approvisionnement en eau potable, </w:t>
      </w:r>
      <w:r w:rsidRPr="00C5019C">
        <w:rPr>
          <w:rFonts w:ascii="Rockwell" w:hAnsi="Rockwell"/>
          <w:sz w:val="26"/>
          <w:szCs w:val="26"/>
        </w:rPr>
        <w:t>de l’irrigation, de la pêche et de l’aquaculture</w:t>
      </w:r>
      <w:r w:rsidR="00B44427" w:rsidRPr="00C5019C">
        <w:rPr>
          <w:rFonts w:ascii="Rockwell" w:hAnsi="Rockwell"/>
          <w:sz w:val="26"/>
          <w:szCs w:val="26"/>
        </w:rPr>
        <w:t xml:space="preserve"> </w:t>
      </w:r>
      <w:r w:rsidRPr="00C5019C">
        <w:rPr>
          <w:rFonts w:ascii="Rockwell" w:hAnsi="Rockwell"/>
          <w:sz w:val="26"/>
          <w:szCs w:val="26"/>
        </w:rPr>
        <w:t>;</w:t>
      </w:r>
    </w:p>
    <w:p w14:paraId="7B7D02A9" w14:textId="562D778E"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une recherche agricole et environnementale performante avec des acquis importants ; </w:t>
      </w:r>
    </w:p>
    <w:p w14:paraId="669511CE" w14:textId="06AEC77C"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lastRenderedPageBreak/>
        <w:t xml:space="preserve">un cheptel numériquement important et diversifié </w:t>
      </w:r>
      <w:r w:rsidR="0025317D" w:rsidRPr="00C5019C">
        <w:rPr>
          <w:rFonts w:ascii="Rockwell" w:hAnsi="Rockwell"/>
          <w:sz w:val="26"/>
          <w:szCs w:val="26"/>
        </w:rPr>
        <w:t xml:space="preserve">estimé à un effectif de </w:t>
      </w:r>
      <w:r w:rsidR="0089743E" w:rsidRPr="00C5019C">
        <w:rPr>
          <w:rFonts w:ascii="Rockwell" w:hAnsi="Rockwell"/>
          <w:sz w:val="26"/>
          <w:szCs w:val="26"/>
        </w:rPr>
        <w:t>10</w:t>
      </w:r>
      <w:r w:rsidR="007F5D84" w:rsidRPr="00C5019C">
        <w:rPr>
          <w:rFonts w:ascii="Rockwell" w:hAnsi="Rockwell"/>
          <w:sz w:val="26"/>
          <w:szCs w:val="26"/>
        </w:rPr>
        <w:t xml:space="preserve"> </w:t>
      </w:r>
      <w:r w:rsidR="0089743E" w:rsidRPr="00C5019C">
        <w:rPr>
          <w:rFonts w:ascii="Rockwell" w:hAnsi="Rockwell"/>
          <w:sz w:val="26"/>
          <w:szCs w:val="26"/>
        </w:rPr>
        <w:t>442</w:t>
      </w:r>
      <w:r w:rsidR="007F5D84" w:rsidRPr="00C5019C">
        <w:rPr>
          <w:rFonts w:ascii="Rockwell" w:hAnsi="Rockwell"/>
          <w:sz w:val="26"/>
          <w:szCs w:val="26"/>
        </w:rPr>
        <w:t xml:space="preserve"> </w:t>
      </w:r>
      <w:r w:rsidR="0089743E" w:rsidRPr="00C5019C">
        <w:rPr>
          <w:rFonts w:ascii="Rockwell" w:hAnsi="Rockwell"/>
          <w:sz w:val="26"/>
          <w:szCs w:val="26"/>
        </w:rPr>
        <w:t>213 bovins, 17</w:t>
      </w:r>
      <w:r w:rsidR="007F5D84" w:rsidRPr="00C5019C">
        <w:rPr>
          <w:rFonts w:ascii="Rockwell" w:hAnsi="Rockwell"/>
          <w:sz w:val="26"/>
          <w:szCs w:val="26"/>
        </w:rPr>
        <w:t xml:space="preserve"> </w:t>
      </w:r>
      <w:r w:rsidR="0089743E" w:rsidRPr="00C5019C">
        <w:rPr>
          <w:rFonts w:ascii="Rockwell" w:hAnsi="Rockwell"/>
          <w:sz w:val="26"/>
          <w:szCs w:val="26"/>
        </w:rPr>
        <w:t>084</w:t>
      </w:r>
      <w:r w:rsidR="007F5D84" w:rsidRPr="00C5019C">
        <w:rPr>
          <w:rFonts w:ascii="Rockwell" w:hAnsi="Rockwell"/>
          <w:sz w:val="26"/>
          <w:szCs w:val="26"/>
        </w:rPr>
        <w:t xml:space="preserve"> </w:t>
      </w:r>
      <w:r w:rsidR="0089743E" w:rsidRPr="00C5019C">
        <w:rPr>
          <w:rFonts w:ascii="Rockwell" w:hAnsi="Rockwell"/>
          <w:sz w:val="26"/>
          <w:szCs w:val="26"/>
        </w:rPr>
        <w:t>565 caprins, 11</w:t>
      </w:r>
      <w:r w:rsidR="007F5D84" w:rsidRPr="00C5019C">
        <w:rPr>
          <w:rFonts w:ascii="Rockwell" w:hAnsi="Rockwell"/>
          <w:sz w:val="26"/>
          <w:szCs w:val="26"/>
        </w:rPr>
        <w:t xml:space="preserve"> </w:t>
      </w:r>
      <w:r w:rsidR="0089743E" w:rsidRPr="00C5019C">
        <w:rPr>
          <w:rFonts w:ascii="Rockwell" w:hAnsi="Rockwell"/>
          <w:sz w:val="26"/>
          <w:szCs w:val="26"/>
        </w:rPr>
        <w:t>410</w:t>
      </w:r>
      <w:r w:rsidR="007F5D84" w:rsidRPr="00C5019C">
        <w:rPr>
          <w:rFonts w:ascii="Rockwell" w:hAnsi="Rockwell"/>
          <w:sz w:val="26"/>
          <w:szCs w:val="26"/>
        </w:rPr>
        <w:t xml:space="preserve"> </w:t>
      </w:r>
      <w:r w:rsidR="0089743E" w:rsidRPr="00C5019C">
        <w:rPr>
          <w:rFonts w:ascii="Rockwell" w:hAnsi="Rockwell"/>
          <w:sz w:val="26"/>
          <w:szCs w:val="26"/>
        </w:rPr>
        <w:t>270 ovins, 51</w:t>
      </w:r>
      <w:r w:rsidR="007F5D84" w:rsidRPr="00C5019C">
        <w:rPr>
          <w:rFonts w:ascii="Rockwell" w:hAnsi="Rockwell"/>
          <w:sz w:val="26"/>
          <w:szCs w:val="26"/>
        </w:rPr>
        <w:t xml:space="preserve"> </w:t>
      </w:r>
      <w:r w:rsidR="0089743E" w:rsidRPr="00C5019C">
        <w:rPr>
          <w:rFonts w:ascii="Rockwell" w:hAnsi="Rockwell"/>
          <w:sz w:val="26"/>
          <w:szCs w:val="26"/>
        </w:rPr>
        <w:t>925</w:t>
      </w:r>
      <w:r w:rsidR="007F5D84" w:rsidRPr="00C5019C">
        <w:rPr>
          <w:rFonts w:ascii="Rockwell" w:hAnsi="Rockwell"/>
          <w:sz w:val="26"/>
          <w:szCs w:val="26"/>
        </w:rPr>
        <w:t xml:space="preserve"> </w:t>
      </w:r>
      <w:r w:rsidR="0089743E" w:rsidRPr="00C5019C">
        <w:rPr>
          <w:rFonts w:ascii="Rockwell" w:hAnsi="Rockwell"/>
          <w:sz w:val="26"/>
          <w:szCs w:val="26"/>
        </w:rPr>
        <w:t xml:space="preserve">450 têtes de volaille </w:t>
      </w:r>
      <w:r w:rsidRPr="00C5019C">
        <w:rPr>
          <w:rFonts w:ascii="Rockwell" w:hAnsi="Rockwell"/>
          <w:sz w:val="26"/>
          <w:szCs w:val="26"/>
        </w:rPr>
        <w:t xml:space="preserve">; </w:t>
      </w:r>
    </w:p>
    <w:p w14:paraId="43F4D5B6" w14:textId="2F34C884" w:rsidR="00C5019C" w:rsidRDefault="00C5019C" w:rsidP="002F4240">
      <w:pPr>
        <w:pStyle w:val="Paragraphedeliste"/>
        <w:numPr>
          <w:ilvl w:val="0"/>
          <w:numId w:val="6"/>
        </w:numPr>
        <w:spacing w:after="120"/>
        <w:ind w:left="1434" w:hanging="1077"/>
        <w:contextualSpacing w:val="0"/>
        <w:rPr>
          <w:rFonts w:ascii="Rockwell" w:hAnsi="Rockwell"/>
          <w:sz w:val="26"/>
          <w:szCs w:val="26"/>
        </w:rPr>
      </w:pPr>
      <w:r>
        <w:rPr>
          <w:rFonts w:ascii="Rockwell" w:hAnsi="Rockwell"/>
          <w:sz w:val="26"/>
          <w:szCs w:val="26"/>
        </w:rPr>
        <w:t>vingt-six (</w:t>
      </w:r>
      <w:r w:rsidRPr="00C5019C">
        <w:rPr>
          <w:rFonts w:ascii="Rockwell" w:hAnsi="Rockwell"/>
          <w:sz w:val="26"/>
          <w:szCs w:val="26"/>
        </w:rPr>
        <w:t>26</w:t>
      </w:r>
      <w:r>
        <w:rPr>
          <w:rFonts w:ascii="Rockwell" w:hAnsi="Rockwell"/>
          <w:sz w:val="26"/>
          <w:szCs w:val="26"/>
        </w:rPr>
        <w:t>)</w:t>
      </w:r>
      <w:r w:rsidR="002F284A" w:rsidRPr="00C5019C">
        <w:rPr>
          <w:rFonts w:ascii="Rockwell" w:hAnsi="Rockwell"/>
          <w:sz w:val="26"/>
          <w:szCs w:val="26"/>
        </w:rPr>
        <w:t xml:space="preserve">zones </w:t>
      </w:r>
      <w:r w:rsidR="00E15B7F" w:rsidRPr="00C5019C">
        <w:rPr>
          <w:rFonts w:ascii="Rockwell" w:hAnsi="Rockwell"/>
          <w:sz w:val="26"/>
          <w:szCs w:val="26"/>
        </w:rPr>
        <w:t xml:space="preserve">pastorales </w:t>
      </w:r>
      <w:r w:rsidR="002F284A" w:rsidRPr="00C5019C">
        <w:rPr>
          <w:rFonts w:ascii="Rockwell" w:hAnsi="Rockwell"/>
          <w:sz w:val="26"/>
          <w:szCs w:val="26"/>
        </w:rPr>
        <w:t>aménagées d’une superficie de 775 000 ha sur plus de 160 zones potentiellement aménageables, d’aires villageoises de pâture, de couloirs de transhumance et des zones agro-écologiques permettant le développement d’un élevage diversifié</w:t>
      </w:r>
      <w:r w:rsidR="00B44427" w:rsidRPr="00C5019C">
        <w:rPr>
          <w:rFonts w:ascii="Rockwell" w:hAnsi="Rockwell"/>
          <w:sz w:val="26"/>
          <w:szCs w:val="26"/>
        </w:rPr>
        <w:t xml:space="preserve"> </w:t>
      </w:r>
      <w:r w:rsidR="002F284A" w:rsidRPr="00C5019C">
        <w:rPr>
          <w:rFonts w:ascii="Rockwell" w:hAnsi="Rockwell"/>
          <w:sz w:val="26"/>
          <w:szCs w:val="26"/>
        </w:rPr>
        <w:t xml:space="preserve">; </w:t>
      </w:r>
    </w:p>
    <w:p w14:paraId="74B2CA7C" w14:textId="1A08BC66" w:rsidR="00C5019C" w:rsidRDefault="00C5019C"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plus </w:t>
      </w:r>
      <w:r w:rsidR="00392D03" w:rsidRPr="00C5019C">
        <w:rPr>
          <w:rFonts w:ascii="Rockwell" w:hAnsi="Rockwell"/>
          <w:sz w:val="26"/>
          <w:szCs w:val="26"/>
        </w:rPr>
        <w:t xml:space="preserve">de </w:t>
      </w:r>
      <w:r w:rsidR="002F284A" w:rsidRPr="00C5019C">
        <w:rPr>
          <w:rFonts w:ascii="Rockwell" w:hAnsi="Rockwell"/>
          <w:sz w:val="26"/>
          <w:szCs w:val="26"/>
        </w:rPr>
        <w:t xml:space="preserve">376 espèces </w:t>
      </w:r>
      <w:r w:rsidR="00F87197" w:rsidRPr="00C5019C">
        <w:rPr>
          <w:rFonts w:ascii="Rockwell" w:hAnsi="Rockwell"/>
          <w:sz w:val="26"/>
          <w:szCs w:val="26"/>
        </w:rPr>
        <w:t>ligneuses</w:t>
      </w:r>
      <w:r w:rsidR="00B44427" w:rsidRPr="00C5019C">
        <w:rPr>
          <w:rFonts w:ascii="Rockwell" w:hAnsi="Rockwell"/>
          <w:sz w:val="26"/>
          <w:szCs w:val="26"/>
        </w:rPr>
        <w:t xml:space="preserve"> </w:t>
      </w:r>
      <w:r w:rsidR="002F284A" w:rsidRPr="00C5019C">
        <w:rPr>
          <w:rFonts w:ascii="Rockwell" w:hAnsi="Rockwell"/>
          <w:sz w:val="26"/>
          <w:szCs w:val="26"/>
        </w:rPr>
        <w:t xml:space="preserve">; </w:t>
      </w:r>
    </w:p>
    <w:p w14:paraId="7844C59E" w14:textId="14E8F0AF"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w:t>
      </w:r>
      <w:r w:rsidR="00C5019C">
        <w:rPr>
          <w:rFonts w:ascii="Rockwell" w:hAnsi="Rockwell"/>
          <w:sz w:val="26"/>
          <w:szCs w:val="26"/>
        </w:rPr>
        <w:t xml:space="preserve">un marché domestique potentiel </w:t>
      </w:r>
      <w:r w:rsidRPr="00C5019C">
        <w:rPr>
          <w:rFonts w:ascii="Rockwell" w:hAnsi="Rockwell"/>
          <w:sz w:val="26"/>
          <w:szCs w:val="26"/>
        </w:rPr>
        <w:t xml:space="preserve">en croissance perpétuelle du fait de l’urbanisation et </w:t>
      </w:r>
      <w:r w:rsidR="00194593" w:rsidRPr="00C5019C">
        <w:rPr>
          <w:rFonts w:ascii="Rockwell" w:hAnsi="Rockwell"/>
          <w:sz w:val="26"/>
          <w:szCs w:val="26"/>
        </w:rPr>
        <w:t xml:space="preserve">de </w:t>
      </w:r>
      <w:r w:rsidRPr="00C5019C">
        <w:rPr>
          <w:rFonts w:ascii="Rockwell" w:hAnsi="Rockwell"/>
          <w:sz w:val="26"/>
          <w:szCs w:val="26"/>
        </w:rPr>
        <w:t>la croissance démographique ainsi qu’un mar</w:t>
      </w:r>
      <w:r w:rsidR="00BC1289" w:rsidRPr="00C5019C">
        <w:rPr>
          <w:rFonts w:ascii="Rockwell" w:hAnsi="Rockwell"/>
          <w:sz w:val="26"/>
          <w:szCs w:val="26"/>
        </w:rPr>
        <w:t>ché régional en construction</w:t>
      </w:r>
      <w:r w:rsidR="00392D03" w:rsidRPr="00C5019C">
        <w:rPr>
          <w:rFonts w:ascii="Rockwell" w:hAnsi="Rockwell"/>
          <w:sz w:val="26"/>
          <w:szCs w:val="26"/>
        </w:rPr>
        <w:t> ;</w:t>
      </w:r>
      <w:r w:rsidR="00BC1289" w:rsidRPr="00C5019C">
        <w:rPr>
          <w:rFonts w:ascii="Rockwell" w:hAnsi="Rockwell"/>
          <w:sz w:val="26"/>
          <w:szCs w:val="26"/>
        </w:rPr>
        <w:t xml:space="preserve"> </w:t>
      </w:r>
    </w:p>
    <w:p w14:paraId="1827052D" w14:textId="596E711F" w:rsidR="00C5019C" w:rsidRDefault="00447123" w:rsidP="002F4240">
      <w:pPr>
        <w:pStyle w:val="Paragraphedeliste"/>
        <w:numPr>
          <w:ilvl w:val="0"/>
          <w:numId w:val="6"/>
        </w:numPr>
        <w:spacing w:after="120"/>
        <w:ind w:left="1434" w:hanging="1077"/>
        <w:contextualSpacing w:val="0"/>
        <w:rPr>
          <w:rFonts w:ascii="Rockwell" w:hAnsi="Rockwell"/>
          <w:sz w:val="26"/>
          <w:szCs w:val="26"/>
        </w:rPr>
      </w:pPr>
      <w:r>
        <w:rPr>
          <w:rFonts w:ascii="Rockwell" w:hAnsi="Rockwell"/>
          <w:sz w:val="26"/>
          <w:szCs w:val="26"/>
        </w:rPr>
        <w:t>un</w:t>
      </w:r>
      <w:r w:rsidR="002F284A" w:rsidRPr="00C5019C">
        <w:rPr>
          <w:rFonts w:ascii="Rockwell" w:hAnsi="Rockwell"/>
          <w:sz w:val="26"/>
          <w:szCs w:val="26"/>
        </w:rPr>
        <w:t xml:space="preserve"> changement des habitudes alimentaires à la faveur du développement des villes et de l’amélioration des revenus</w:t>
      </w:r>
      <w:r w:rsidR="00392D03" w:rsidRPr="00C5019C">
        <w:rPr>
          <w:rFonts w:ascii="Rockwell" w:hAnsi="Rockwell"/>
          <w:sz w:val="26"/>
          <w:szCs w:val="26"/>
        </w:rPr>
        <w:t> ;</w:t>
      </w:r>
      <w:r w:rsidR="00BC1289" w:rsidRPr="00C5019C">
        <w:rPr>
          <w:rFonts w:ascii="Rockwell" w:hAnsi="Rockwell"/>
          <w:sz w:val="26"/>
          <w:szCs w:val="26"/>
        </w:rPr>
        <w:t xml:space="preserve"> </w:t>
      </w:r>
    </w:p>
    <w:p w14:paraId="539B9E3B" w14:textId="5F1FB181" w:rsidR="00C5019C" w:rsidRDefault="00E83D8C"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C34DC1" w:rsidRPr="00C5019C">
        <w:rPr>
          <w:rFonts w:ascii="Rockwell" w:hAnsi="Rockwell"/>
          <w:sz w:val="26"/>
          <w:szCs w:val="26"/>
        </w:rPr>
        <w:t xml:space="preserve">’existence </w:t>
      </w:r>
      <w:r w:rsidR="00BC1289" w:rsidRPr="00C5019C">
        <w:rPr>
          <w:rFonts w:ascii="Rockwell" w:hAnsi="Rockwell"/>
          <w:sz w:val="26"/>
          <w:szCs w:val="26"/>
        </w:rPr>
        <w:t>de lois, politiques et stratégies qui encadrent les Systèmes Alimentaires au nive</w:t>
      </w:r>
      <w:r w:rsidR="00CB7524" w:rsidRPr="00C5019C">
        <w:rPr>
          <w:rFonts w:ascii="Rockwell" w:hAnsi="Rockwell"/>
          <w:sz w:val="26"/>
          <w:szCs w:val="26"/>
        </w:rPr>
        <w:t>au des différents sous-secteurs</w:t>
      </w:r>
      <w:r w:rsidR="00392D03" w:rsidRPr="00C5019C">
        <w:rPr>
          <w:rFonts w:ascii="Rockwell" w:hAnsi="Rockwell"/>
          <w:sz w:val="26"/>
          <w:szCs w:val="26"/>
        </w:rPr>
        <w:t> ;</w:t>
      </w:r>
      <w:r w:rsidR="00CB7524" w:rsidRPr="00C5019C">
        <w:rPr>
          <w:rFonts w:ascii="Rockwell" w:hAnsi="Rockwell"/>
          <w:sz w:val="26"/>
          <w:szCs w:val="26"/>
        </w:rPr>
        <w:t xml:space="preserve"> </w:t>
      </w:r>
    </w:p>
    <w:p w14:paraId="171A82B9" w14:textId="6B7236F8" w:rsidR="00C5019C" w:rsidRDefault="00CB7524"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w:t>
      </w:r>
      <w:r w:rsidR="00BC1289" w:rsidRPr="00C5019C">
        <w:rPr>
          <w:rFonts w:ascii="Rockwell" w:hAnsi="Rockwell"/>
          <w:sz w:val="26"/>
          <w:szCs w:val="26"/>
        </w:rPr>
        <w:t xml:space="preserve">de plusieurs </w:t>
      </w:r>
      <w:r w:rsidR="00392D03" w:rsidRPr="00C5019C">
        <w:rPr>
          <w:rFonts w:ascii="Rockwell" w:hAnsi="Rockwell"/>
          <w:sz w:val="26"/>
          <w:szCs w:val="26"/>
        </w:rPr>
        <w:t>P</w:t>
      </w:r>
      <w:r w:rsidR="00BC1289" w:rsidRPr="00C5019C">
        <w:rPr>
          <w:rFonts w:ascii="Rockwell" w:hAnsi="Rockwell"/>
          <w:sz w:val="26"/>
          <w:szCs w:val="26"/>
        </w:rPr>
        <w:t>ôles de croissance</w:t>
      </w:r>
      <w:r w:rsidR="007F3063" w:rsidRPr="00C5019C">
        <w:rPr>
          <w:rFonts w:ascii="Rockwell" w:hAnsi="Rockwell"/>
          <w:sz w:val="26"/>
          <w:szCs w:val="26"/>
        </w:rPr>
        <w:t xml:space="preserve"> </w:t>
      </w:r>
      <w:r w:rsidR="00BC1289" w:rsidRPr="00C5019C">
        <w:rPr>
          <w:rFonts w:ascii="Rockwell" w:hAnsi="Rockwell"/>
          <w:sz w:val="26"/>
          <w:szCs w:val="26"/>
        </w:rPr>
        <w:t>;</w:t>
      </w:r>
      <w:r w:rsidR="00185126" w:rsidRPr="00C5019C">
        <w:rPr>
          <w:rFonts w:ascii="Rockwell" w:hAnsi="Rockwell"/>
          <w:sz w:val="26"/>
          <w:szCs w:val="26"/>
        </w:rPr>
        <w:t xml:space="preserve"> </w:t>
      </w:r>
    </w:p>
    <w:p w14:paraId="2F93B79F" w14:textId="23686DA1" w:rsidR="00C5019C" w:rsidRDefault="00185126"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w:t>
      </w:r>
      <w:r w:rsidR="00D421B3" w:rsidRPr="00C5019C">
        <w:rPr>
          <w:rFonts w:ascii="Rockwell" w:hAnsi="Rockwell"/>
          <w:sz w:val="26"/>
          <w:szCs w:val="26"/>
        </w:rPr>
        <w:t>e laboratoires d’analyse de</w:t>
      </w:r>
      <w:r w:rsidR="00CF3754" w:rsidRPr="00C5019C">
        <w:rPr>
          <w:rFonts w:ascii="Rockwell" w:hAnsi="Rockwell"/>
          <w:sz w:val="26"/>
          <w:szCs w:val="26"/>
        </w:rPr>
        <w:t xml:space="preserve"> la</w:t>
      </w:r>
      <w:r w:rsidR="00D421B3" w:rsidRPr="00C5019C">
        <w:rPr>
          <w:rFonts w:ascii="Rockwell" w:hAnsi="Rockwell"/>
          <w:sz w:val="26"/>
          <w:szCs w:val="26"/>
        </w:rPr>
        <w:t xml:space="preserve"> qualité et d</w:t>
      </w:r>
      <w:r w:rsidRPr="00C5019C">
        <w:rPr>
          <w:rFonts w:ascii="Rockwell" w:hAnsi="Rockwell"/>
          <w:sz w:val="26"/>
          <w:szCs w:val="26"/>
        </w:rPr>
        <w:t>’</w:t>
      </w:r>
      <w:r w:rsidR="00BC1289" w:rsidRPr="00C5019C">
        <w:rPr>
          <w:rFonts w:ascii="Rockwell" w:hAnsi="Rockwell"/>
          <w:sz w:val="26"/>
          <w:szCs w:val="26"/>
        </w:rPr>
        <w:t>un dispositif de contrôle et d</w:t>
      </w:r>
      <w:r w:rsidR="00B51884" w:rsidRPr="00C5019C">
        <w:rPr>
          <w:rFonts w:ascii="Rockwell" w:hAnsi="Rockwell"/>
          <w:sz w:val="26"/>
          <w:szCs w:val="26"/>
        </w:rPr>
        <w:t>’inspection aux postes d’entrée</w:t>
      </w:r>
      <w:r w:rsidR="00F87197" w:rsidRPr="00C5019C">
        <w:rPr>
          <w:rFonts w:ascii="Rockwell" w:hAnsi="Rockwell"/>
          <w:sz w:val="26"/>
          <w:szCs w:val="26"/>
        </w:rPr>
        <w:t xml:space="preserve"> </w:t>
      </w:r>
      <w:r w:rsidR="00BC1289" w:rsidRPr="00C5019C">
        <w:rPr>
          <w:rFonts w:ascii="Rockwell" w:hAnsi="Rockwell"/>
          <w:sz w:val="26"/>
          <w:szCs w:val="26"/>
        </w:rPr>
        <w:t>des denrées alimentaire</w:t>
      </w:r>
      <w:r w:rsidR="007F5D84" w:rsidRPr="00C5019C">
        <w:rPr>
          <w:rFonts w:ascii="Rockwell" w:hAnsi="Rockwell"/>
          <w:sz w:val="26"/>
          <w:szCs w:val="26"/>
        </w:rPr>
        <w:t>s</w:t>
      </w:r>
      <w:r w:rsidR="00BC1289" w:rsidRPr="00C5019C">
        <w:rPr>
          <w:rFonts w:ascii="Rockwell" w:hAnsi="Rockwell"/>
          <w:sz w:val="26"/>
          <w:szCs w:val="26"/>
        </w:rPr>
        <w:t xml:space="preserve"> pour la recherche de polluants chimiques et environnementaux</w:t>
      </w:r>
      <w:r w:rsidR="00392D03" w:rsidRPr="00C5019C">
        <w:rPr>
          <w:rFonts w:ascii="Rockwell" w:hAnsi="Rockwell"/>
          <w:sz w:val="26"/>
          <w:szCs w:val="26"/>
        </w:rPr>
        <w:t> ;</w:t>
      </w:r>
    </w:p>
    <w:p w14:paraId="5B96697A" w14:textId="354BF7FE" w:rsidR="00C5019C" w:rsidRDefault="00006932"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u</w:t>
      </w:r>
      <w:r w:rsidR="00BC1289" w:rsidRPr="00C5019C">
        <w:rPr>
          <w:rFonts w:ascii="Rockwell" w:hAnsi="Rockwell"/>
          <w:sz w:val="26"/>
          <w:szCs w:val="26"/>
        </w:rPr>
        <w:t xml:space="preserve">n système de subventions des </w:t>
      </w:r>
      <w:r w:rsidR="00CF3754" w:rsidRPr="00C5019C">
        <w:rPr>
          <w:rFonts w:ascii="Rockwell" w:hAnsi="Rockwell"/>
          <w:sz w:val="26"/>
          <w:szCs w:val="26"/>
        </w:rPr>
        <w:t>intrants, matériels et équipements</w:t>
      </w:r>
      <w:r w:rsidR="00BC1289" w:rsidRPr="00C5019C">
        <w:rPr>
          <w:rFonts w:ascii="Rockwell" w:hAnsi="Rockwell"/>
          <w:sz w:val="26"/>
          <w:szCs w:val="26"/>
        </w:rPr>
        <w:t xml:space="preserve"> au profit des </w:t>
      </w:r>
      <w:r w:rsidR="00CF3754" w:rsidRPr="00C5019C">
        <w:rPr>
          <w:rFonts w:ascii="Rockwell" w:hAnsi="Rockwell"/>
          <w:sz w:val="26"/>
          <w:szCs w:val="26"/>
        </w:rPr>
        <w:t xml:space="preserve">acteurs agro-sylvo-pastoral, halieutique et faunique </w:t>
      </w:r>
      <w:r w:rsidR="00BC1289" w:rsidRPr="00C5019C">
        <w:rPr>
          <w:rFonts w:ascii="Rockwell" w:hAnsi="Rockwell"/>
          <w:sz w:val="26"/>
          <w:szCs w:val="26"/>
        </w:rPr>
        <w:t>;</w:t>
      </w:r>
      <w:r w:rsidR="00B51884" w:rsidRPr="00C5019C">
        <w:rPr>
          <w:rFonts w:ascii="Rockwell" w:hAnsi="Rockwell"/>
          <w:sz w:val="26"/>
          <w:szCs w:val="26"/>
        </w:rPr>
        <w:t xml:space="preserve"> </w:t>
      </w:r>
    </w:p>
    <w:p w14:paraId="63365D18" w14:textId="425B81A8" w:rsidR="00C5019C" w:rsidRDefault="00006932"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BC1289" w:rsidRPr="00C5019C">
        <w:rPr>
          <w:rFonts w:ascii="Rockwell" w:hAnsi="Rockwell"/>
          <w:sz w:val="26"/>
          <w:szCs w:val="26"/>
        </w:rPr>
        <w:t xml:space="preserve">a promotion du </w:t>
      </w:r>
      <w:r w:rsidR="00392D03" w:rsidRPr="00C5019C">
        <w:rPr>
          <w:rFonts w:ascii="Rockwell" w:hAnsi="Rockwell"/>
          <w:sz w:val="26"/>
          <w:szCs w:val="26"/>
        </w:rPr>
        <w:t>« </w:t>
      </w:r>
      <w:r w:rsidR="00BC1289" w:rsidRPr="00C5019C">
        <w:rPr>
          <w:rFonts w:ascii="Rockwell" w:hAnsi="Rockwell"/>
          <w:sz w:val="26"/>
          <w:szCs w:val="26"/>
        </w:rPr>
        <w:t>consommer local</w:t>
      </w:r>
      <w:r w:rsidR="00392D03" w:rsidRPr="00C5019C">
        <w:rPr>
          <w:rFonts w:ascii="Rockwell" w:hAnsi="Rockwell"/>
          <w:sz w:val="26"/>
          <w:szCs w:val="26"/>
        </w:rPr>
        <w:t> »</w:t>
      </w:r>
      <w:r w:rsidR="00BC1289" w:rsidRPr="00C5019C">
        <w:rPr>
          <w:rFonts w:ascii="Rockwell" w:hAnsi="Rockwell"/>
          <w:sz w:val="26"/>
          <w:szCs w:val="26"/>
        </w:rPr>
        <w:t xml:space="preserve"> </w:t>
      </w:r>
      <w:r w:rsidR="00F87197" w:rsidRPr="00C5019C">
        <w:rPr>
          <w:rFonts w:ascii="Rockwell" w:hAnsi="Rockwell"/>
          <w:sz w:val="26"/>
          <w:szCs w:val="26"/>
        </w:rPr>
        <w:t xml:space="preserve">notamment </w:t>
      </w:r>
      <w:r w:rsidR="00BC1289" w:rsidRPr="00C5019C">
        <w:rPr>
          <w:rFonts w:ascii="Rockwell" w:hAnsi="Rockwell"/>
          <w:sz w:val="26"/>
          <w:szCs w:val="26"/>
        </w:rPr>
        <w:t xml:space="preserve"> dans les cantines scolaires et lors des manifestations nationales ; </w:t>
      </w:r>
    </w:p>
    <w:p w14:paraId="505F0095" w14:textId="705738EE"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CF3754" w:rsidRPr="00C5019C">
        <w:rPr>
          <w:rFonts w:ascii="Rockwell" w:hAnsi="Rockwell"/>
          <w:sz w:val="26"/>
          <w:szCs w:val="26"/>
        </w:rPr>
        <w:t>a prise en compte</w:t>
      </w:r>
      <w:r w:rsidRPr="00C5019C">
        <w:rPr>
          <w:rFonts w:ascii="Rockwell" w:hAnsi="Rockwell"/>
          <w:sz w:val="26"/>
          <w:szCs w:val="26"/>
        </w:rPr>
        <w:t xml:space="preserve"> </w:t>
      </w:r>
      <w:r w:rsidR="00F87197" w:rsidRPr="00C5019C">
        <w:rPr>
          <w:rFonts w:ascii="Rockwell" w:hAnsi="Rockwell"/>
          <w:sz w:val="26"/>
          <w:szCs w:val="26"/>
        </w:rPr>
        <w:t>du</w:t>
      </w:r>
      <w:r w:rsidR="00BC1289" w:rsidRPr="00C5019C">
        <w:rPr>
          <w:rFonts w:ascii="Rockwell" w:hAnsi="Rockwell"/>
          <w:sz w:val="26"/>
          <w:szCs w:val="26"/>
        </w:rPr>
        <w:t xml:space="preserve"> genre dans le cadre des </w:t>
      </w:r>
      <w:r w:rsidR="00F87197" w:rsidRPr="00C5019C">
        <w:rPr>
          <w:rFonts w:ascii="Rockwell" w:hAnsi="Rockwell"/>
          <w:sz w:val="26"/>
          <w:szCs w:val="26"/>
        </w:rPr>
        <w:t>S</w:t>
      </w:r>
      <w:r w:rsidR="00BC1289" w:rsidRPr="00C5019C">
        <w:rPr>
          <w:rFonts w:ascii="Rockwell" w:hAnsi="Rockwell"/>
          <w:sz w:val="26"/>
          <w:szCs w:val="26"/>
        </w:rPr>
        <w:t xml:space="preserve">ystèmes </w:t>
      </w:r>
      <w:r w:rsidR="00F87197" w:rsidRPr="00C5019C">
        <w:rPr>
          <w:rFonts w:ascii="Rockwell" w:hAnsi="Rockwell"/>
          <w:sz w:val="26"/>
          <w:szCs w:val="26"/>
        </w:rPr>
        <w:t>A</w:t>
      </w:r>
      <w:r w:rsidR="00BC1289" w:rsidRPr="00C5019C">
        <w:rPr>
          <w:rFonts w:ascii="Rockwell" w:hAnsi="Rockwell"/>
          <w:sz w:val="26"/>
          <w:szCs w:val="26"/>
        </w:rPr>
        <w:t>limentaires ;</w:t>
      </w:r>
      <w:r w:rsidR="00194593" w:rsidRPr="00C5019C">
        <w:rPr>
          <w:rFonts w:ascii="Rockwell" w:hAnsi="Rockwell"/>
          <w:sz w:val="26"/>
          <w:szCs w:val="26"/>
        </w:rPr>
        <w:t xml:space="preserve"> </w:t>
      </w:r>
    </w:p>
    <w:p w14:paraId="6BC8A593" w14:textId="0024FBBD"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F87197" w:rsidRPr="00C5019C">
        <w:rPr>
          <w:rFonts w:ascii="Rockwell" w:hAnsi="Rockwell"/>
          <w:sz w:val="26"/>
          <w:szCs w:val="26"/>
        </w:rPr>
        <w:t>existence de</w:t>
      </w:r>
      <w:r w:rsidR="00BC1289" w:rsidRPr="00C5019C">
        <w:rPr>
          <w:rFonts w:ascii="Rockwell" w:hAnsi="Rockwell"/>
          <w:sz w:val="26"/>
          <w:szCs w:val="26"/>
        </w:rPr>
        <w:t xml:space="preserve"> plusieurs dispositifs de suivi-évaluation de la situation alimentaire et nutritionnelle</w:t>
      </w:r>
      <w:r w:rsidR="007D2F0F" w:rsidRPr="00C5019C">
        <w:rPr>
          <w:rFonts w:ascii="Rockwell" w:hAnsi="Rockwell"/>
          <w:sz w:val="26"/>
          <w:szCs w:val="26"/>
        </w:rPr>
        <w:t xml:space="preserve"> </w:t>
      </w:r>
      <w:r w:rsidR="00BC1289" w:rsidRPr="00C5019C">
        <w:rPr>
          <w:rFonts w:ascii="Rockwell" w:hAnsi="Rockwell"/>
          <w:sz w:val="26"/>
          <w:szCs w:val="26"/>
        </w:rPr>
        <w:t>;</w:t>
      </w:r>
      <w:r w:rsidR="00194593" w:rsidRPr="00C5019C">
        <w:rPr>
          <w:rFonts w:ascii="Rockwell" w:hAnsi="Rockwell"/>
          <w:sz w:val="26"/>
          <w:szCs w:val="26"/>
        </w:rPr>
        <w:t xml:space="preserve"> </w:t>
      </w:r>
    </w:p>
    <w:p w14:paraId="06FD272A" w14:textId="233B7A54" w:rsidR="00C5019C" w:rsidRDefault="00E174C6"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la p</w:t>
      </w:r>
      <w:r w:rsidR="00BC1289" w:rsidRPr="00C5019C">
        <w:rPr>
          <w:rFonts w:ascii="Rockwell" w:hAnsi="Rockwell"/>
          <w:sz w:val="26"/>
          <w:szCs w:val="26"/>
        </w:rPr>
        <w:t>ris</w:t>
      </w:r>
      <w:r w:rsidR="00F87197" w:rsidRPr="00C5019C">
        <w:rPr>
          <w:rFonts w:ascii="Rockwell" w:hAnsi="Rockwell"/>
          <w:sz w:val="26"/>
          <w:szCs w:val="26"/>
        </w:rPr>
        <w:t>e</w:t>
      </w:r>
      <w:r w:rsidR="00BC1289" w:rsidRPr="00C5019C">
        <w:rPr>
          <w:rFonts w:ascii="Rockwell" w:hAnsi="Rockwell"/>
          <w:sz w:val="26"/>
          <w:szCs w:val="26"/>
        </w:rPr>
        <w:t xml:space="preserve"> des mesures de riposte pour </w:t>
      </w:r>
      <w:r w:rsidR="00CF3754" w:rsidRPr="00C5019C">
        <w:rPr>
          <w:rFonts w:ascii="Rockwell" w:hAnsi="Rockwell"/>
          <w:sz w:val="26"/>
          <w:szCs w:val="26"/>
        </w:rPr>
        <w:t>renforcer</w:t>
      </w:r>
      <w:r w:rsidR="00BC1289" w:rsidRPr="00C5019C">
        <w:rPr>
          <w:rFonts w:ascii="Rockwell" w:hAnsi="Rockwell"/>
          <w:sz w:val="26"/>
          <w:szCs w:val="26"/>
        </w:rPr>
        <w:t xml:space="preserve"> la résilience aux changements climatiques, aux effets </w:t>
      </w:r>
      <w:r w:rsidR="00CF3754" w:rsidRPr="00C5019C">
        <w:rPr>
          <w:rFonts w:ascii="Rockwell" w:hAnsi="Rockwell"/>
          <w:sz w:val="26"/>
          <w:szCs w:val="26"/>
        </w:rPr>
        <w:t xml:space="preserve">de la </w:t>
      </w:r>
      <w:r w:rsidR="00BC1289" w:rsidRPr="00C5019C">
        <w:rPr>
          <w:rFonts w:ascii="Rockwell" w:hAnsi="Rockwell"/>
          <w:sz w:val="26"/>
          <w:szCs w:val="26"/>
        </w:rPr>
        <w:t>COVID-19, à l’insécurité, et au déficit alimentaire ;</w:t>
      </w:r>
      <w:r w:rsidR="00913673" w:rsidRPr="00C5019C">
        <w:rPr>
          <w:rFonts w:ascii="Rockwell" w:hAnsi="Rockwell"/>
          <w:sz w:val="26"/>
          <w:szCs w:val="26"/>
        </w:rPr>
        <w:t xml:space="preserve"> </w:t>
      </w:r>
    </w:p>
    <w:p w14:paraId="3CDF13A7" w14:textId="6527086B"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F87197" w:rsidRPr="00C5019C">
        <w:rPr>
          <w:rFonts w:ascii="Rockwell" w:hAnsi="Rockwell"/>
          <w:sz w:val="26"/>
          <w:szCs w:val="26"/>
        </w:rPr>
        <w:t xml:space="preserve">émergence du secteur de la </w:t>
      </w:r>
      <w:r w:rsidR="00BC1289" w:rsidRPr="00C5019C">
        <w:rPr>
          <w:rFonts w:ascii="Rockwell" w:hAnsi="Rockwell"/>
          <w:sz w:val="26"/>
          <w:szCs w:val="26"/>
        </w:rPr>
        <w:t xml:space="preserve">transformation agro-alimentaire avec la création de plusieurs </w:t>
      </w:r>
      <w:r w:rsidR="00CF3754" w:rsidRPr="00C5019C">
        <w:rPr>
          <w:rFonts w:ascii="Rockwell" w:hAnsi="Rockwell"/>
          <w:sz w:val="26"/>
          <w:szCs w:val="26"/>
        </w:rPr>
        <w:t xml:space="preserve">unités </w:t>
      </w:r>
      <w:r w:rsidR="00BC1289" w:rsidRPr="00C5019C">
        <w:rPr>
          <w:rFonts w:ascii="Rockwell" w:hAnsi="Rockwell"/>
          <w:sz w:val="26"/>
          <w:szCs w:val="26"/>
        </w:rPr>
        <w:t>de production et de transformation des produits</w:t>
      </w:r>
      <w:r w:rsidR="00426CC9" w:rsidRPr="00C5019C">
        <w:rPr>
          <w:rFonts w:ascii="Rockwell" w:hAnsi="Rockwell"/>
          <w:sz w:val="26"/>
          <w:szCs w:val="26"/>
        </w:rPr>
        <w:t xml:space="preserve"> locaux</w:t>
      </w:r>
      <w:r w:rsidR="007D2F0F" w:rsidRPr="00C5019C">
        <w:rPr>
          <w:rFonts w:ascii="Rockwell" w:hAnsi="Rockwell"/>
          <w:sz w:val="26"/>
          <w:szCs w:val="26"/>
        </w:rPr>
        <w:t> ;</w:t>
      </w:r>
      <w:r w:rsidR="00BC1289" w:rsidRPr="00C5019C">
        <w:rPr>
          <w:rFonts w:ascii="Rockwell" w:hAnsi="Rockwell"/>
          <w:sz w:val="26"/>
          <w:szCs w:val="26"/>
        </w:rPr>
        <w:t xml:space="preserve"> </w:t>
      </w:r>
    </w:p>
    <w:p w14:paraId="3F6C821E" w14:textId="7DDB01C4" w:rsidR="00C5019C" w:rsidRDefault="00CF3754"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de structures d’accompagnement à la labélisation et à la</w:t>
      </w:r>
      <w:r w:rsidR="00BC1289" w:rsidRPr="00C5019C">
        <w:rPr>
          <w:rFonts w:ascii="Rockwell" w:hAnsi="Rockwell"/>
          <w:sz w:val="26"/>
          <w:szCs w:val="26"/>
        </w:rPr>
        <w:t xml:space="preserve"> certification aux normes sanitaires</w:t>
      </w:r>
      <w:r w:rsidR="007D2F0F" w:rsidRPr="00C5019C">
        <w:rPr>
          <w:rFonts w:ascii="Rockwell" w:hAnsi="Rockwell"/>
          <w:sz w:val="26"/>
          <w:szCs w:val="26"/>
        </w:rPr>
        <w:t xml:space="preserve"> </w:t>
      </w:r>
      <w:r w:rsidR="00BC1289" w:rsidRPr="00C5019C">
        <w:rPr>
          <w:rFonts w:ascii="Rockwell" w:hAnsi="Rockwell"/>
          <w:sz w:val="26"/>
          <w:szCs w:val="26"/>
        </w:rPr>
        <w:t>;</w:t>
      </w:r>
      <w:r w:rsidR="00496D71" w:rsidRPr="00C5019C">
        <w:rPr>
          <w:rFonts w:ascii="Rockwell" w:hAnsi="Rockwell"/>
          <w:sz w:val="26"/>
          <w:szCs w:val="26"/>
        </w:rPr>
        <w:t xml:space="preserve"> </w:t>
      </w:r>
    </w:p>
    <w:p w14:paraId="66ACF11E" w14:textId="34E4A8D6"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la présence de </w:t>
      </w:r>
      <w:r w:rsidR="00BC1289" w:rsidRPr="00C5019C">
        <w:rPr>
          <w:rFonts w:ascii="Rockwell" w:hAnsi="Rockwell"/>
          <w:sz w:val="26"/>
          <w:szCs w:val="26"/>
        </w:rPr>
        <w:t>nombreuses ONG intervenant dans le</w:t>
      </w:r>
      <w:r w:rsidR="00170536" w:rsidRPr="00C5019C">
        <w:rPr>
          <w:rFonts w:ascii="Rockwell" w:hAnsi="Rockwell"/>
          <w:sz w:val="26"/>
          <w:szCs w:val="26"/>
        </w:rPr>
        <w:t xml:space="preserve">s </w:t>
      </w:r>
      <w:r w:rsidR="00DA4234" w:rsidRPr="00C5019C">
        <w:rPr>
          <w:rFonts w:ascii="Rockwell" w:hAnsi="Rockwell"/>
          <w:sz w:val="26"/>
          <w:szCs w:val="26"/>
        </w:rPr>
        <w:t>Systèmes</w:t>
      </w:r>
      <w:r w:rsidR="00170536" w:rsidRPr="00C5019C">
        <w:rPr>
          <w:rFonts w:ascii="Rockwell" w:hAnsi="Rockwell"/>
          <w:sz w:val="26"/>
          <w:szCs w:val="26"/>
        </w:rPr>
        <w:t xml:space="preserve"> Alimentaires</w:t>
      </w:r>
      <w:r w:rsidR="007D2F0F" w:rsidRPr="00C5019C">
        <w:rPr>
          <w:rFonts w:ascii="Rockwell" w:hAnsi="Rockwell"/>
          <w:sz w:val="26"/>
          <w:szCs w:val="26"/>
        </w:rPr>
        <w:t xml:space="preserve"> </w:t>
      </w:r>
      <w:r w:rsidR="00BC1289" w:rsidRPr="00C5019C">
        <w:rPr>
          <w:rFonts w:ascii="Rockwell" w:hAnsi="Rockwell"/>
          <w:sz w:val="26"/>
          <w:szCs w:val="26"/>
        </w:rPr>
        <w:t>;</w:t>
      </w:r>
      <w:r w:rsidR="00496D71" w:rsidRPr="00C5019C">
        <w:rPr>
          <w:rFonts w:ascii="Rockwell" w:hAnsi="Rockwell"/>
          <w:sz w:val="26"/>
          <w:szCs w:val="26"/>
        </w:rPr>
        <w:t xml:space="preserve"> </w:t>
      </w:r>
    </w:p>
    <w:p w14:paraId="23527AC0" w14:textId="06D52DC2"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lastRenderedPageBreak/>
        <w:t>l’</w:t>
      </w:r>
      <w:r w:rsidR="00496D71" w:rsidRPr="00C5019C">
        <w:rPr>
          <w:rFonts w:ascii="Rockwell" w:hAnsi="Rockwell"/>
          <w:sz w:val="26"/>
          <w:szCs w:val="26"/>
        </w:rPr>
        <w:t>existence</w:t>
      </w:r>
      <w:r w:rsidR="00BC1289" w:rsidRPr="00C5019C">
        <w:rPr>
          <w:rFonts w:ascii="Rockwell" w:hAnsi="Rockwell"/>
          <w:sz w:val="26"/>
          <w:szCs w:val="26"/>
        </w:rPr>
        <w:t xml:space="preserve"> d</w:t>
      </w:r>
      <w:r w:rsidRPr="00C5019C">
        <w:rPr>
          <w:rFonts w:ascii="Rockwell" w:hAnsi="Rockwell"/>
          <w:sz w:val="26"/>
          <w:szCs w:val="26"/>
        </w:rPr>
        <w:t>’O</w:t>
      </w:r>
      <w:r w:rsidR="00BC1289" w:rsidRPr="00C5019C">
        <w:rPr>
          <w:rFonts w:ascii="Rockwell" w:hAnsi="Rockwell"/>
          <w:sz w:val="26"/>
          <w:szCs w:val="26"/>
        </w:rPr>
        <w:t xml:space="preserve">rganisations </w:t>
      </w:r>
      <w:r w:rsidR="00426CC9" w:rsidRPr="00C5019C">
        <w:rPr>
          <w:rFonts w:ascii="Rockwell" w:hAnsi="Rockwell"/>
          <w:sz w:val="26"/>
          <w:szCs w:val="26"/>
        </w:rPr>
        <w:t xml:space="preserve">Professionnelles Agricoles </w:t>
      </w:r>
      <w:r w:rsidR="00496D71" w:rsidRPr="00C5019C">
        <w:rPr>
          <w:rFonts w:ascii="Rockwell" w:hAnsi="Rockwell"/>
          <w:sz w:val="26"/>
          <w:szCs w:val="26"/>
        </w:rPr>
        <w:t>dans les différentes filières</w:t>
      </w:r>
      <w:r w:rsidR="007D2F0F" w:rsidRPr="00C5019C">
        <w:rPr>
          <w:rFonts w:ascii="Rockwell" w:hAnsi="Rockwell"/>
          <w:sz w:val="26"/>
          <w:szCs w:val="26"/>
        </w:rPr>
        <w:t> ;</w:t>
      </w:r>
      <w:r w:rsidR="00496D71" w:rsidRPr="00C5019C">
        <w:rPr>
          <w:rFonts w:ascii="Rockwell" w:hAnsi="Rockwell"/>
          <w:sz w:val="26"/>
          <w:szCs w:val="26"/>
        </w:rPr>
        <w:t xml:space="preserve"> </w:t>
      </w:r>
    </w:p>
    <w:p w14:paraId="48D04C25" w14:textId="1B74A15D" w:rsidR="00C5019C" w:rsidRDefault="00FE74D9"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de lois portant sur l’organisation et la structuration</w:t>
      </w:r>
      <w:r w:rsidR="007D2F0F" w:rsidRPr="00C5019C">
        <w:rPr>
          <w:rFonts w:ascii="Rockwell" w:hAnsi="Rockwell"/>
          <w:sz w:val="26"/>
          <w:szCs w:val="26"/>
        </w:rPr>
        <w:t xml:space="preserve"> des acteurs des filières ASPHF ;</w:t>
      </w:r>
      <w:r w:rsidRPr="00C5019C">
        <w:rPr>
          <w:rFonts w:ascii="Rockwell" w:hAnsi="Rockwell"/>
          <w:sz w:val="26"/>
          <w:szCs w:val="26"/>
        </w:rPr>
        <w:t xml:space="preserve"> </w:t>
      </w:r>
    </w:p>
    <w:p w14:paraId="53B3D598" w14:textId="163C11D6"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BC1289" w:rsidRPr="00C5019C">
        <w:rPr>
          <w:rFonts w:ascii="Rockwell" w:hAnsi="Rockwell"/>
          <w:sz w:val="26"/>
          <w:szCs w:val="26"/>
        </w:rPr>
        <w:t>existe</w:t>
      </w:r>
      <w:r w:rsidR="00496D71" w:rsidRPr="00C5019C">
        <w:rPr>
          <w:rFonts w:ascii="Rockwell" w:hAnsi="Rockwell"/>
          <w:sz w:val="26"/>
          <w:szCs w:val="26"/>
        </w:rPr>
        <w:t>nce</w:t>
      </w:r>
      <w:r w:rsidR="00BC1289" w:rsidRPr="00C5019C">
        <w:rPr>
          <w:rFonts w:ascii="Rockwell" w:hAnsi="Rockwell"/>
          <w:sz w:val="26"/>
          <w:szCs w:val="26"/>
        </w:rPr>
        <w:t xml:space="preserve"> de </w:t>
      </w:r>
      <w:r w:rsidRPr="00C5019C">
        <w:rPr>
          <w:rFonts w:ascii="Rockwell" w:hAnsi="Rockwell"/>
          <w:sz w:val="26"/>
          <w:szCs w:val="26"/>
        </w:rPr>
        <w:t>P</w:t>
      </w:r>
      <w:r w:rsidR="00BC1289" w:rsidRPr="00C5019C">
        <w:rPr>
          <w:rFonts w:ascii="Rockwell" w:hAnsi="Rockwell"/>
          <w:sz w:val="26"/>
          <w:szCs w:val="26"/>
        </w:rPr>
        <w:t xml:space="preserve">artenaires </w:t>
      </w:r>
      <w:r w:rsidRPr="00C5019C">
        <w:rPr>
          <w:rFonts w:ascii="Rockwell" w:hAnsi="Rockwell"/>
          <w:sz w:val="26"/>
          <w:szCs w:val="26"/>
        </w:rPr>
        <w:t>T</w:t>
      </w:r>
      <w:r w:rsidR="00BC1289" w:rsidRPr="00C5019C">
        <w:rPr>
          <w:rFonts w:ascii="Rockwell" w:hAnsi="Rockwell"/>
          <w:sz w:val="26"/>
          <w:szCs w:val="26"/>
        </w:rPr>
        <w:t xml:space="preserve">echniques et </w:t>
      </w:r>
      <w:r w:rsidRPr="00C5019C">
        <w:rPr>
          <w:rFonts w:ascii="Rockwell" w:hAnsi="Rockwell"/>
          <w:sz w:val="26"/>
          <w:szCs w:val="26"/>
        </w:rPr>
        <w:t>F</w:t>
      </w:r>
      <w:r w:rsidR="00BC1289" w:rsidRPr="00C5019C">
        <w:rPr>
          <w:rFonts w:ascii="Rockwell" w:hAnsi="Rockwell"/>
          <w:sz w:val="26"/>
          <w:szCs w:val="26"/>
        </w:rPr>
        <w:t>inanciers</w:t>
      </w:r>
      <w:r w:rsidR="00C5019C">
        <w:rPr>
          <w:rFonts w:ascii="Rockwell" w:hAnsi="Rockwell"/>
          <w:sz w:val="26"/>
          <w:szCs w:val="26"/>
        </w:rPr>
        <w:t> ;</w:t>
      </w:r>
    </w:p>
    <w:p w14:paraId="20D917EC" w14:textId="1B595741" w:rsidR="002F284A" w:rsidRPr="00C5019C" w:rsidRDefault="0025317D"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l’importance de la frange jeune de la population</w:t>
      </w:r>
      <w:r w:rsidR="00426CC9" w:rsidRPr="00C5019C">
        <w:rPr>
          <w:rFonts w:ascii="Rockwell" w:hAnsi="Rockwell"/>
          <w:sz w:val="26"/>
          <w:szCs w:val="26"/>
        </w:rPr>
        <w:t>.</w:t>
      </w:r>
      <w:r w:rsidRPr="00C5019C">
        <w:rPr>
          <w:rFonts w:ascii="Rockwell" w:hAnsi="Rockwell"/>
          <w:sz w:val="26"/>
          <w:szCs w:val="26"/>
        </w:rPr>
        <w:t xml:space="preserve"> </w:t>
      </w:r>
    </w:p>
    <w:p w14:paraId="23B5DE69" w14:textId="77777777" w:rsidR="00C5019C" w:rsidRDefault="00811D46" w:rsidP="007D2F0F">
      <w:pPr>
        <w:spacing w:after="240" w:line="276" w:lineRule="auto"/>
        <w:jc w:val="both"/>
        <w:rPr>
          <w:rFonts w:ascii="Rockwell" w:hAnsi="Rockwell"/>
          <w:sz w:val="26"/>
          <w:szCs w:val="26"/>
        </w:rPr>
      </w:pPr>
      <w:r w:rsidRPr="007D2F0F">
        <w:rPr>
          <w:rFonts w:ascii="Rockwell" w:hAnsi="Rockwell"/>
          <w:sz w:val="26"/>
          <w:szCs w:val="26"/>
        </w:rPr>
        <w:t>En dépit de ces atouts,</w:t>
      </w:r>
      <w:r w:rsidR="00C5019C">
        <w:rPr>
          <w:rFonts w:ascii="Rockwell" w:hAnsi="Rockwell"/>
          <w:sz w:val="26"/>
          <w:szCs w:val="26"/>
        </w:rPr>
        <w:t xml:space="preserve"> </w:t>
      </w:r>
      <w:r w:rsidRPr="007D2F0F">
        <w:rPr>
          <w:rFonts w:ascii="Rockwell" w:hAnsi="Rockwell"/>
          <w:sz w:val="26"/>
          <w:szCs w:val="26"/>
        </w:rPr>
        <w:t>l</w:t>
      </w:r>
      <w:r w:rsidR="00914DFC" w:rsidRPr="007D2F0F">
        <w:rPr>
          <w:rFonts w:ascii="Rockwell" w:hAnsi="Rockwell"/>
          <w:sz w:val="26"/>
          <w:szCs w:val="26"/>
        </w:rPr>
        <w:t>e</w:t>
      </w:r>
      <w:r w:rsidR="00392D03" w:rsidRPr="007D2F0F">
        <w:rPr>
          <w:rFonts w:ascii="Rockwell" w:hAnsi="Rockwell"/>
          <w:sz w:val="26"/>
          <w:szCs w:val="26"/>
        </w:rPr>
        <w:t>s</w:t>
      </w:r>
      <w:r w:rsidR="00914DFC" w:rsidRPr="007D2F0F">
        <w:rPr>
          <w:rFonts w:ascii="Rockwell" w:hAnsi="Rockwell"/>
          <w:sz w:val="26"/>
          <w:szCs w:val="26"/>
        </w:rPr>
        <w:t xml:space="preserve"> </w:t>
      </w:r>
      <w:r w:rsidR="00170536" w:rsidRPr="007D2F0F">
        <w:rPr>
          <w:rFonts w:ascii="Rockwell" w:hAnsi="Rockwell"/>
          <w:sz w:val="26"/>
          <w:szCs w:val="26"/>
        </w:rPr>
        <w:t>S</w:t>
      </w:r>
      <w:r w:rsidR="00914DFC" w:rsidRPr="007D2F0F">
        <w:rPr>
          <w:rFonts w:ascii="Rockwell" w:hAnsi="Rockwell"/>
          <w:sz w:val="26"/>
          <w:szCs w:val="26"/>
        </w:rPr>
        <w:t>ystème</w:t>
      </w:r>
      <w:r w:rsidR="00392D03" w:rsidRPr="007D2F0F">
        <w:rPr>
          <w:rFonts w:ascii="Rockwell" w:hAnsi="Rockwell"/>
          <w:sz w:val="26"/>
          <w:szCs w:val="26"/>
        </w:rPr>
        <w:t>s</w:t>
      </w:r>
      <w:r w:rsidR="00914DFC" w:rsidRPr="007D2F0F">
        <w:rPr>
          <w:rFonts w:ascii="Rockwell" w:hAnsi="Rockwell"/>
          <w:sz w:val="26"/>
          <w:szCs w:val="26"/>
        </w:rPr>
        <w:t xml:space="preserve"> </w:t>
      </w:r>
      <w:r w:rsidR="00170536" w:rsidRPr="007D2F0F">
        <w:rPr>
          <w:rFonts w:ascii="Rockwell" w:hAnsi="Rockwell"/>
          <w:sz w:val="26"/>
          <w:szCs w:val="26"/>
        </w:rPr>
        <w:t>A</w:t>
      </w:r>
      <w:r w:rsidR="00914DFC" w:rsidRPr="007D2F0F">
        <w:rPr>
          <w:rFonts w:ascii="Rockwell" w:hAnsi="Rockwell"/>
          <w:sz w:val="26"/>
          <w:szCs w:val="26"/>
        </w:rPr>
        <w:t>limentaire</w:t>
      </w:r>
      <w:r w:rsidR="00392D03" w:rsidRPr="007D2F0F">
        <w:rPr>
          <w:rFonts w:ascii="Rockwell" w:hAnsi="Rockwell"/>
          <w:sz w:val="26"/>
          <w:szCs w:val="26"/>
        </w:rPr>
        <w:t>s</w:t>
      </w:r>
      <w:r w:rsidR="00914DFC" w:rsidRPr="007D2F0F">
        <w:rPr>
          <w:rFonts w:ascii="Rockwell" w:hAnsi="Rockwell"/>
          <w:sz w:val="26"/>
          <w:szCs w:val="26"/>
        </w:rPr>
        <w:t xml:space="preserve"> actuel</w:t>
      </w:r>
      <w:r w:rsidR="00392D03" w:rsidRPr="007D2F0F">
        <w:rPr>
          <w:rFonts w:ascii="Rockwell" w:hAnsi="Rockwell"/>
          <w:sz w:val="26"/>
          <w:szCs w:val="26"/>
        </w:rPr>
        <w:t>s</w:t>
      </w:r>
      <w:r w:rsidR="00914DFC" w:rsidRPr="007D2F0F">
        <w:rPr>
          <w:rFonts w:ascii="Rockwell" w:hAnsi="Rockwell"/>
          <w:sz w:val="26"/>
          <w:szCs w:val="26"/>
        </w:rPr>
        <w:t xml:space="preserve"> ne permet</w:t>
      </w:r>
      <w:r w:rsidR="00392D03" w:rsidRPr="007D2F0F">
        <w:rPr>
          <w:rFonts w:ascii="Rockwell" w:hAnsi="Rockwell"/>
          <w:sz w:val="26"/>
          <w:szCs w:val="26"/>
        </w:rPr>
        <w:t xml:space="preserve">tent </w:t>
      </w:r>
      <w:r w:rsidR="00914DFC" w:rsidRPr="007D2F0F">
        <w:rPr>
          <w:rFonts w:ascii="Rockwell" w:hAnsi="Rockwell"/>
          <w:sz w:val="26"/>
          <w:szCs w:val="26"/>
        </w:rPr>
        <w:t>pas d’assurer la sécurité alimentaire</w:t>
      </w:r>
      <w:r w:rsidR="00771CEB" w:rsidRPr="007D2F0F">
        <w:rPr>
          <w:rFonts w:ascii="Rockwell" w:hAnsi="Rockwell"/>
          <w:sz w:val="26"/>
          <w:szCs w:val="26"/>
        </w:rPr>
        <w:t xml:space="preserve"> </w:t>
      </w:r>
      <w:r w:rsidR="006A1EB5" w:rsidRPr="007D2F0F">
        <w:rPr>
          <w:rFonts w:ascii="Rockwell" w:hAnsi="Rockwell"/>
          <w:sz w:val="26"/>
          <w:szCs w:val="26"/>
        </w:rPr>
        <w:t>et nutritionnelle (</w:t>
      </w:r>
      <w:r w:rsidR="00426CC9" w:rsidRPr="007D2F0F">
        <w:rPr>
          <w:rFonts w:ascii="Rockwell" w:hAnsi="Rockwell"/>
          <w:sz w:val="26"/>
          <w:szCs w:val="26"/>
        </w:rPr>
        <w:t>15</w:t>
      </w:r>
      <w:r w:rsidR="00033D66">
        <w:rPr>
          <w:rFonts w:ascii="Rockwell" w:hAnsi="Rockwell"/>
          <w:sz w:val="26"/>
          <w:szCs w:val="26"/>
        </w:rPr>
        <w:t xml:space="preserve"> </w:t>
      </w:r>
      <w:r w:rsidR="00771CEB" w:rsidRPr="007D2F0F">
        <w:rPr>
          <w:rFonts w:ascii="Rockwell" w:hAnsi="Rockwell"/>
          <w:sz w:val="26"/>
          <w:szCs w:val="26"/>
        </w:rPr>
        <w:t>% de la population</w:t>
      </w:r>
      <w:r w:rsidR="00D421B3" w:rsidRPr="007D2F0F">
        <w:rPr>
          <w:rFonts w:ascii="Rockwell" w:hAnsi="Rockwell"/>
          <w:sz w:val="26"/>
          <w:szCs w:val="26"/>
        </w:rPr>
        <w:t xml:space="preserve"> en insécurité alimentaire</w:t>
      </w:r>
      <w:r w:rsidR="00771CEB" w:rsidRPr="007D2F0F">
        <w:rPr>
          <w:rFonts w:ascii="Rockwell" w:hAnsi="Rockwell"/>
          <w:sz w:val="26"/>
          <w:szCs w:val="26"/>
        </w:rPr>
        <w:t>, C</w:t>
      </w:r>
      <w:r w:rsidR="001B7D98" w:rsidRPr="007D2F0F">
        <w:rPr>
          <w:rFonts w:ascii="Rockwell" w:hAnsi="Rockwell"/>
          <w:sz w:val="26"/>
          <w:szCs w:val="26"/>
        </w:rPr>
        <w:t xml:space="preserve">adre </w:t>
      </w:r>
      <w:r w:rsidR="00771CEB" w:rsidRPr="007D2F0F">
        <w:rPr>
          <w:rFonts w:ascii="Rockwell" w:hAnsi="Rockwell"/>
          <w:sz w:val="26"/>
          <w:szCs w:val="26"/>
        </w:rPr>
        <w:t>H</w:t>
      </w:r>
      <w:r w:rsidR="001B7D98" w:rsidRPr="007D2F0F">
        <w:rPr>
          <w:rFonts w:ascii="Rockwell" w:hAnsi="Rockwell"/>
          <w:sz w:val="26"/>
          <w:szCs w:val="26"/>
        </w:rPr>
        <w:t>armonisé</w:t>
      </w:r>
      <w:r w:rsidR="00771CEB" w:rsidRPr="007D2F0F">
        <w:rPr>
          <w:rFonts w:ascii="Rockwell" w:hAnsi="Rockwell"/>
          <w:sz w:val="26"/>
          <w:szCs w:val="26"/>
        </w:rPr>
        <w:t xml:space="preserve"> 2020) </w:t>
      </w:r>
      <w:r w:rsidR="00914DFC" w:rsidRPr="007D2F0F">
        <w:rPr>
          <w:rFonts w:ascii="Rockwell" w:hAnsi="Rockwell"/>
          <w:sz w:val="26"/>
          <w:szCs w:val="26"/>
        </w:rPr>
        <w:t>qui demeure</w:t>
      </w:r>
      <w:r w:rsidR="006A1EB5" w:rsidRPr="007D2F0F">
        <w:rPr>
          <w:rFonts w:ascii="Rockwell" w:hAnsi="Rockwell"/>
          <w:sz w:val="26"/>
          <w:szCs w:val="26"/>
        </w:rPr>
        <w:t xml:space="preserve"> </w:t>
      </w:r>
      <w:r w:rsidR="00914DFC" w:rsidRPr="007D2F0F">
        <w:rPr>
          <w:rFonts w:ascii="Rockwell" w:hAnsi="Rockwell"/>
          <w:sz w:val="26"/>
          <w:szCs w:val="26"/>
        </w:rPr>
        <w:t>préoccupante. Cette situation est due</w:t>
      </w:r>
      <w:r w:rsidR="00170536" w:rsidRPr="007D2F0F">
        <w:rPr>
          <w:rFonts w:ascii="Rockwell" w:hAnsi="Rockwell"/>
          <w:sz w:val="26"/>
          <w:szCs w:val="26"/>
        </w:rPr>
        <w:t> </w:t>
      </w:r>
      <w:r w:rsidR="00C5019C" w:rsidRPr="007D2F0F">
        <w:rPr>
          <w:rFonts w:ascii="Rockwell" w:hAnsi="Rockwell"/>
          <w:sz w:val="26"/>
          <w:szCs w:val="26"/>
        </w:rPr>
        <w:t>à</w:t>
      </w:r>
      <w:r w:rsidR="00170536" w:rsidRPr="007D2F0F">
        <w:rPr>
          <w:rFonts w:ascii="Rockwell" w:hAnsi="Rockwell"/>
          <w:sz w:val="26"/>
          <w:szCs w:val="26"/>
        </w:rPr>
        <w:t xml:space="preserve">: </w:t>
      </w:r>
    </w:p>
    <w:p w14:paraId="1DACE60C" w14:textId="26ADD051" w:rsidR="00C5019C" w:rsidRP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une </w:t>
      </w:r>
      <w:r w:rsidR="00914DFC" w:rsidRPr="00C5019C">
        <w:rPr>
          <w:rFonts w:ascii="Rockwell" w:hAnsi="Rockwell"/>
          <w:sz w:val="26"/>
          <w:szCs w:val="26"/>
        </w:rPr>
        <w:t>faible productivité agro-sylvo-pastorale</w:t>
      </w:r>
      <w:r w:rsidR="007D2F0F" w:rsidRPr="00C5019C">
        <w:rPr>
          <w:rFonts w:ascii="Rockwell" w:hAnsi="Rockwell"/>
          <w:sz w:val="26"/>
          <w:szCs w:val="26"/>
        </w:rPr>
        <w:t xml:space="preserve"> </w:t>
      </w:r>
      <w:r w:rsidRPr="00C5019C">
        <w:rPr>
          <w:rFonts w:ascii="Rockwell" w:hAnsi="Rockwell"/>
          <w:sz w:val="26"/>
          <w:szCs w:val="26"/>
        </w:rPr>
        <w:t>;</w:t>
      </w:r>
      <w:r w:rsidR="00914DFC" w:rsidRPr="00C5019C">
        <w:rPr>
          <w:rFonts w:ascii="Rockwell" w:hAnsi="Rockwell"/>
          <w:sz w:val="26"/>
          <w:szCs w:val="26"/>
        </w:rPr>
        <w:t xml:space="preserve"> </w:t>
      </w:r>
    </w:p>
    <w:p w14:paraId="709DA3F9" w14:textId="41A4F6BE" w:rsidR="00C5019C" w:rsidRDefault="00914DF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une </w:t>
      </w:r>
      <w:r w:rsidR="006A1EB5" w:rsidRPr="00C5019C">
        <w:rPr>
          <w:rFonts w:ascii="Rockwell" w:hAnsi="Rockwell"/>
          <w:sz w:val="26"/>
          <w:szCs w:val="26"/>
        </w:rPr>
        <w:t>transformation alimentaire saisonnière peu développée, en zone rurale</w:t>
      </w:r>
      <w:r w:rsidR="007D2F0F" w:rsidRPr="00C5019C">
        <w:rPr>
          <w:rFonts w:ascii="Rockwell" w:hAnsi="Rockwell"/>
          <w:sz w:val="26"/>
          <w:szCs w:val="26"/>
        </w:rPr>
        <w:t> ;</w:t>
      </w:r>
      <w:r w:rsidRPr="00C5019C">
        <w:rPr>
          <w:rFonts w:ascii="Rockwell" w:hAnsi="Rockwell"/>
          <w:sz w:val="26"/>
          <w:szCs w:val="26"/>
        </w:rPr>
        <w:t xml:space="preserve"> </w:t>
      </w:r>
    </w:p>
    <w:p w14:paraId="5F49660D" w14:textId="6BE38A12" w:rsidR="00C5019C" w:rsidRDefault="00914DF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260FAB" w:rsidRPr="00C5019C">
        <w:rPr>
          <w:rFonts w:ascii="Rockwell" w:hAnsi="Rockwell"/>
          <w:sz w:val="26"/>
          <w:szCs w:val="26"/>
        </w:rPr>
        <w:t>’</w:t>
      </w:r>
      <w:r w:rsidRPr="00C5019C">
        <w:rPr>
          <w:rFonts w:ascii="Rockwell" w:hAnsi="Rockwell"/>
          <w:sz w:val="26"/>
          <w:szCs w:val="26"/>
        </w:rPr>
        <w:t>enclavement des bassins de production, des moyens de transport et de stockage insuffisants et parfois inadaptés</w:t>
      </w:r>
      <w:r w:rsidR="00BB72EF" w:rsidRPr="00C5019C">
        <w:rPr>
          <w:rFonts w:ascii="Rockwell" w:hAnsi="Rockwell"/>
          <w:sz w:val="26"/>
          <w:szCs w:val="26"/>
        </w:rPr>
        <w:t xml:space="preserve"> entrainant un faible taux de commercialisation des produits agricoles (37</w:t>
      </w:r>
      <w:r w:rsidR="007D2F0F" w:rsidRPr="00C5019C">
        <w:rPr>
          <w:rFonts w:ascii="Rockwell" w:hAnsi="Rockwell"/>
          <w:sz w:val="26"/>
          <w:szCs w:val="26"/>
        </w:rPr>
        <w:t xml:space="preserve"> </w:t>
      </w:r>
      <w:r w:rsidR="00BB72EF" w:rsidRPr="00C5019C">
        <w:rPr>
          <w:rFonts w:ascii="Rockwell" w:hAnsi="Rockwell"/>
          <w:sz w:val="26"/>
          <w:szCs w:val="26"/>
        </w:rPr>
        <w:t>% en 2020)</w:t>
      </w:r>
      <w:r w:rsidR="00C12D38" w:rsidRPr="00C5019C">
        <w:rPr>
          <w:rFonts w:ascii="Rockwell" w:hAnsi="Rockwell"/>
          <w:sz w:val="26"/>
          <w:szCs w:val="26"/>
        </w:rPr>
        <w:t> ;</w:t>
      </w:r>
      <w:r w:rsidR="004B0B81" w:rsidRPr="00C5019C">
        <w:rPr>
          <w:rFonts w:ascii="Rockwell" w:hAnsi="Rockwell"/>
          <w:sz w:val="26"/>
          <w:szCs w:val="26"/>
        </w:rPr>
        <w:t xml:space="preserve"> </w:t>
      </w:r>
    </w:p>
    <w:p w14:paraId="4145C39C" w14:textId="7E790E74" w:rsidR="00C5019C" w:rsidRDefault="004B0B81"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faiblesse du financement des secteurs de production ASPHF</w:t>
      </w:r>
      <w:r w:rsidR="006A1EB5" w:rsidRPr="00C5019C">
        <w:rPr>
          <w:rFonts w:ascii="Rockwell" w:hAnsi="Rockwell"/>
          <w:sz w:val="26"/>
          <w:szCs w:val="26"/>
        </w:rPr>
        <w:t xml:space="preserve"> ; </w:t>
      </w:r>
    </w:p>
    <w:p w14:paraId="12A8E289" w14:textId="5FE23361"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les effets des changements climatiques)</w:t>
      </w:r>
      <w:r w:rsidR="00C12D38" w:rsidRPr="00C5019C">
        <w:rPr>
          <w:rFonts w:ascii="Rockwell" w:hAnsi="Rockwell"/>
          <w:sz w:val="26"/>
          <w:szCs w:val="26"/>
        </w:rPr>
        <w:t> ;</w:t>
      </w:r>
    </w:p>
    <w:p w14:paraId="5AFBE56D" w14:textId="61536022" w:rsid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6A1EB5" w:rsidRPr="00C5019C">
        <w:rPr>
          <w:rFonts w:ascii="Rockwell" w:hAnsi="Rockwell"/>
          <w:sz w:val="26"/>
          <w:szCs w:val="26"/>
        </w:rPr>
        <w:t>a pression démographique</w:t>
      </w:r>
      <w:r w:rsidRPr="00C5019C">
        <w:rPr>
          <w:rFonts w:ascii="Rockwell" w:hAnsi="Rockwell"/>
          <w:sz w:val="26"/>
          <w:szCs w:val="26"/>
        </w:rPr>
        <w:t> ;</w:t>
      </w:r>
      <w:r w:rsidR="00260FAB" w:rsidRPr="00C5019C">
        <w:rPr>
          <w:rFonts w:ascii="Rockwell" w:hAnsi="Rockwell"/>
          <w:sz w:val="26"/>
          <w:szCs w:val="26"/>
        </w:rPr>
        <w:t xml:space="preserve"> </w:t>
      </w:r>
    </w:p>
    <w:p w14:paraId="0C4FFCF3" w14:textId="14EFD053"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l’insécu</w:t>
      </w:r>
      <w:r w:rsidR="00033D66" w:rsidRPr="00C5019C">
        <w:rPr>
          <w:rFonts w:ascii="Rockwell" w:hAnsi="Rockwell"/>
          <w:sz w:val="26"/>
          <w:szCs w:val="26"/>
        </w:rPr>
        <w:t>rité, la crise sanitaire (COVID</w:t>
      </w:r>
      <w:r w:rsidR="002F1C05">
        <w:rPr>
          <w:rFonts w:ascii="Rockwell" w:hAnsi="Rockwell"/>
          <w:sz w:val="26"/>
          <w:szCs w:val="26"/>
        </w:rPr>
        <w:t>)</w:t>
      </w:r>
      <w:r w:rsidR="00C12D38" w:rsidRPr="00C5019C">
        <w:rPr>
          <w:rFonts w:ascii="Rockwell" w:hAnsi="Rockwell"/>
          <w:sz w:val="26"/>
          <w:szCs w:val="26"/>
        </w:rPr>
        <w:t> ;</w:t>
      </w:r>
      <w:r w:rsidR="00260FAB" w:rsidRPr="00C5019C">
        <w:rPr>
          <w:rFonts w:ascii="Rockwell" w:hAnsi="Rockwell"/>
          <w:sz w:val="26"/>
          <w:szCs w:val="26"/>
        </w:rPr>
        <w:t xml:space="preserve"> </w:t>
      </w:r>
    </w:p>
    <w:p w14:paraId="02F159BD" w14:textId="295F6223"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les conflits fonciers et communautaires</w:t>
      </w:r>
      <w:r w:rsidR="00033D66" w:rsidRPr="00C5019C">
        <w:rPr>
          <w:rFonts w:ascii="Rockwell" w:hAnsi="Rockwell"/>
          <w:sz w:val="26"/>
          <w:szCs w:val="26"/>
        </w:rPr>
        <w:t xml:space="preserve"> </w:t>
      </w:r>
      <w:r w:rsidR="00243B86" w:rsidRPr="00C5019C">
        <w:rPr>
          <w:rFonts w:ascii="Rockwell" w:hAnsi="Rockwell"/>
          <w:sz w:val="26"/>
          <w:szCs w:val="26"/>
        </w:rPr>
        <w:t>;</w:t>
      </w:r>
      <w:r w:rsidR="00CF6766" w:rsidRPr="00C5019C">
        <w:rPr>
          <w:rFonts w:ascii="Rockwell" w:hAnsi="Rockwell"/>
          <w:sz w:val="26"/>
          <w:szCs w:val="26"/>
        </w:rPr>
        <w:t xml:space="preserve"> </w:t>
      </w:r>
    </w:p>
    <w:p w14:paraId="72034290" w14:textId="57A8BE92" w:rsidR="00C5019C" w:rsidRDefault="00260FAB"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le </w:t>
      </w:r>
      <w:r w:rsidR="00243B86" w:rsidRPr="00C5019C">
        <w:rPr>
          <w:rFonts w:ascii="Rockwell" w:hAnsi="Rockwell"/>
          <w:sz w:val="26"/>
          <w:szCs w:val="26"/>
        </w:rPr>
        <w:t>faible niveau d'éducation limit</w:t>
      </w:r>
      <w:r w:rsidRPr="00C5019C">
        <w:rPr>
          <w:rFonts w:ascii="Rockwell" w:hAnsi="Rockwell"/>
          <w:sz w:val="26"/>
          <w:szCs w:val="26"/>
        </w:rPr>
        <w:t xml:space="preserve">ant </w:t>
      </w:r>
      <w:r w:rsidR="00243B86" w:rsidRPr="00C5019C">
        <w:rPr>
          <w:rFonts w:ascii="Rockwell" w:hAnsi="Rockwell"/>
          <w:sz w:val="26"/>
          <w:szCs w:val="26"/>
        </w:rPr>
        <w:t>les capacités d'innovation dans les activités productives et les bonnes pratiques nutritionnelles ;</w:t>
      </w:r>
      <w:r w:rsidR="00AB74EB" w:rsidRPr="00C5019C">
        <w:rPr>
          <w:rFonts w:ascii="Rockwell" w:hAnsi="Rockwell"/>
          <w:sz w:val="26"/>
          <w:szCs w:val="26"/>
        </w:rPr>
        <w:t xml:space="preserve"> </w:t>
      </w:r>
    </w:p>
    <w:p w14:paraId="41D46522" w14:textId="4ACAC27A" w:rsid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243B86" w:rsidRPr="00C5019C">
        <w:rPr>
          <w:rFonts w:ascii="Rockwell" w:hAnsi="Rockwell"/>
          <w:sz w:val="26"/>
          <w:szCs w:val="26"/>
        </w:rPr>
        <w:t>insuffisance dans la professionnalisation des groupes d’acteurs et dans la gouvernan</w:t>
      </w:r>
      <w:r w:rsidR="00AB74EB" w:rsidRPr="00C5019C">
        <w:rPr>
          <w:rFonts w:ascii="Rockwell" w:hAnsi="Rockwell"/>
          <w:sz w:val="26"/>
          <w:szCs w:val="26"/>
        </w:rPr>
        <w:t>ce des Organisations Paysannes</w:t>
      </w:r>
      <w:r w:rsidR="002F0BAC" w:rsidRPr="00C5019C">
        <w:rPr>
          <w:rFonts w:ascii="Rockwell" w:hAnsi="Rockwell"/>
          <w:sz w:val="26"/>
          <w:szCs w:val="26"/>
        </w:rPr>
        <w:t> ;</w:t>
      </w:r>
      <w:bookmarkStart w:id="16" w:name="_Hlk80966738"/>
    </w:p>
    <w:p w14:paraId="7163F3CC" w14:textId="49E6B932"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application des lois/textes qui enca</w:t>
      </w:r>
      <w:r w:rsidR="007D2F0F" w:rsidRPr="00C5019C">
        <w:rPr>
          <w:rFonts w:ascii="Rockwell" w:hAnsi="Rockwell"/>
          <w:sz w:val="26"/>
          <w:szCs w:val="26"/>
        </w:rPr>
        <w:t>drent les systèmes alimentaires ;</w:t>
      </w:r>
      <w:r w:rsidRPr="00C5019C">
        <w:rPr>
          <w:rFonts w:ascii="Rockwell" w:hAnsi="Rockwell"/>
          <w:sz w:val="26"/>
          <w:szCs w:val="26"/>
        </w:rPr>
        <w:t xml:space="preserve"> </w:t>
      </w:r>
    </w:p>
    <w:p w14:paraId="0C5213AA" w14:textId="64786202" w:rsidR="00C5019C" w:rsidRDefault="003E236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 chômage des jeunes ;</w:t>
      </w:r>
      <w:r w:rsidR="002F0BAC" w:rsidRPr="00C5019C">
        <w:rPr>
          <w:rFonts w:ascii="Rockwell" w:hAnsi="Rockwell"/>
          <w:sz w:val="26"/>
          <w:szCs w:val="26"/>
        </w:rPr>
        <w:t xml:space="preserve"> </w:t>
      </w:r>
    </w:p>
    <w:p w14:paraId="139E7908" w14:textId="0B46E56B"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le faible accompagnement des initiatives </w:t>
      </w:r>
      <w:r w:rsidR="00522FF6" w:rsidRPr="00C5019C">
        <w:rPr>
          <w:rFonts w:ascii="Rockwell" w:hAnsi="Rockwell"/>
          <w:sz w:val="26"/>
          <w:szCs w:val="26"/>
        </w:rPr>
        <w:t xml:space="preserve">en </w:t>
      </w:r>
      <w:r w:rsidRPr="00C5019C">
        <w:rPr>
          <w:rFonts w:ascii="Rockwell" w:hAnsi="Rockwell"/>
          <w:sz w:val="26"/>
          <w:szCs w:val="26"/>
        </w:rPr>
        <w:t xml:space="preserve">entrepreneuriat </w:t>
      </w:r>
      <w:r w:rsidR="002F1C05" w:rsidRPr="00C5019C">
        <w:rPr>
          <w:rFonts w:ascii="Rockwell" w:hAnsi="Rockwell"/>
          <w:sz w:val="26"/>
          <w:szCs w:val="26"/>
        </w:rPr>
        <w:t xml:space="preserve">agricole </w:t>
      </w:r>
      <w:r w:rsidR="00522FF6" w:rsidRPr="00C5019C">
        <w:rPr>
          <w:rFonts w:ascii="Rockwell" w:hAnsi="Rockwell"/>
          <w:sz w:val="26"/>
          <w:szCs w:val="26"/>
        </w:rPr>
        <w:t>notamment celles portées par l</w:t>
      </w:r>
      <w:r w:rsidRPr="00C5019C">
        <w:rPr>
          <w:rFonts w:ascii="Rockwell" w:hAnsi="Rockwell"/>
          <w:sz w:val="26"/>
          <w:szCs w:val="26"/>
        </w:rPr>
        <w:t xml:space="preserve">es jeunes et </w:t>
      </w:r>
      <w:r w:rsidR="00522FF6" w:rsidRPr="00C5019C">
        <w:rPr>
          <w:rFonts w:ascii="Rockwell" w:hAnsi="Rockwell"/>
          <w:sz w:val="26"/>
          <w:szCs w:val="26"/>
        </w:rPr>
        <w:t>l</w:t>
      </w:r>
      <w:r w:rsidR="007D2F0F" w:rsidRPr="00C5019C">
        <w:rPr>
          <w:rFonts w:ascii="Rockwell" w:hAnsi="Rockwell"/>
          <w:sz w:val="26"/>
          <w:szCs w:val="26"/>
        </w:rPr>
        <w:t>es femmes ;</w:t>
      </w:r>
      <w:r w:rsidRPr="00C5019C">
        <w:rPr>
          <w:rFonts w:ascii="Rockwell" w:hAnsi="Rockwell"/>
          <w:sz w:val="26"/>
          <w:szCs w:val="26"/>
        </w:rPr>
        <w:t xml:space="preserve"> </w:t>
      </w:r>
    </w:p>
    <w:p w14:paraId="308C080E" w14:textId="433A9234"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maitrise</w:t>
      </w:r>
      <w:r w:rsidR="00522FF6" w:rsidRPr="00C5019C">
        <w:rPr>
          <w:rFonts w:ascii="Rockwell" w:hAnsi="Rockwell"/>
          <w:sz w:val="26"/>
          <w:szCs w:val="26"/>
        </w:rPr>
        <w:t>/application</w:t>
      </w:r>
      <w:r w:rsidRPr="00C5019C">
        <w:rPr>
          <w:rFonts w:ascii="Rockwell" w:hAnsi="Rockwell"/>
          <w:sz w:val="26"/>
          <w:szCs w:val="26"/>
        </w:rPr>
        <w:t xml:space="preserve"> des règles d’hygiène par la grande majorité des acteurs impliqués </w:t>
      </w:r>
      <w:r w:rsidR="00522FF6" w:rsidRPr="00C5019C">
        <w:rPr>
          <w:rFonts w:ascii="Rockwell" w:hAnsi="Rockwell"/>
          <w:sz w:val="26"/>
          <w:szCs w:val="26"/>
        </w:rPr>
        <w:t>dans les systèmes alimentaires</w:t>
      </w:r>
      <w:r w:rsidR="00426CC9" w:rsidRPr="00C5019C">
        <w:rPr>
          <w:rFonts w:ascii="Rockwell" w:hAnsi="Rockwell"/>
          <w:sz w:val="26"/>
          <w:szCs w:val="26"/>
        </w:rPr>
        <w:t> ;</w:t>
      </w:r>
    </w:p>
    <w:p w14:paraId="602FD6D5" w14:textId="44138DAE" w:rsidR="00C5019C" w:rsidRDefault="00426CC9"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disponi</w:t>
      </w:r>
      <w:r w:rsidR="007D2F0F" w:rsidRPr="00C5019C">
        <w:rPr>
          <w:rFonts w:ascii="Rockwell" w:hAnsi="Rockwell"/>
          <w:sz w:val="26"/>
          <w:szCs w:val="26"/>
        </w:rPr>
        <w:t>bi</w:t>
      </w:r>
      <w:r w:rsidR="00FC44AE" w:rsidRPr="00C5019C">
        <w:rPr>
          <w:rFonts w:ascii="Rockwell" w:hAnsi="Rockwell"/>
          <w:sz w:val="26"/>
          <w:szCs w:val="26"/>
        </w:rPr>
        <w:t xml:space="preserve">lité et l’accès difficile </w:t>
      </w:r>
      <w:r w:rsidR="002F1C05">
        <w:rPr>
          <w:rFonts w:ascii="Rockwell" w:hAnsi="Rockwell"/>
          <w:sz w:val="26"/>
          <w:szCs w:val="26"/>
        </w:rPr>
        <w:t>à</w:t>
      </w:r>
      <w:r w:rsidR="00FC44AE" w:rsidRPr="00C5019C">
        <w:rPr>
          <w:rFonts w:ascii="Rockwell" w:hAnsi="Rockwell"/>
          <w:sz w:val="26"/>
          <w:szCs w:val="26"/>
        </w:rPr>
        <w:t xml:space="preserve"> l’</w:t>
      </w:r>
      <w:r w:rsidRPr="00C5019C">
        <w:rPr>
          <w:rFonts w:ascii="Rockwell" w:hAnsi="Rockwell"/>
          <w:sz w:val="26"/>
          <w:szCs w:val="26"/>
        </w:rPr>
        <w:t>énergie</w:t>
      </w:r>
      <w:r w:rsidR="00C5019C">
        <w:rPr>
          <w:rFonts w:ascii="Rockwell" w:hAnsi="Rockwell"/>
          <w:sz w:val="26"/>
          <w:szCs w:val="26"/>
        </w:rPr>
        <w:t> ;</w:t>
      </w:r>
    </w:p>
    <w:p w14:paraId="5AD6764C" w14:textId="1ECA85FA" w:rsidR="00243B86" w:rsidRPr="00C5019C" w:rsidRDefault="00426CC9"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recrudescence des fléaux ASPHF</w:t>
      </w:r>
      <w:bookmarkEnd w:id="16"/>
      <w:r w:rsidR="00FC44AE" w:rsidRPr="00C5019C">
        <w:rPr>
          <w:rFonts w:ascii="Rockwell" w:hAnsi="Rockwell"/>
          <w:sz w:val="26"/>
          <w:szCs w:val="26"/>
        </w:rPr>
        <w:t>.</w:t>
      </w:r>
    </w:p>
    <w:p w14:paraId="1EB66F18" w14:textId="2AD34FBC" w:rsidR="002F284A"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17" w:name="_Toc80650213"/>
      <w:bookmarkStart w:id="18" w:name="_Toc80650436"/>
      <w:bookmarkStart w:id="19" w:name="_Toc80650464"/>
      <w:bookmarkStart w:id="20" w:name="_Toc80701289"/>
      <w:bookmarkStart w:id="21" w:name="_Toc80701577"/>
      <w:bookmarkStart w:id="22" w:name="_Toc82164348"/>
      <w:r w:rsidRPr="007D2F0F">
        <w:rPr>
          <w:rFonts w:ascii="Rockwell" w:hAnsi="Rockwell" w:cs="Times New Roman"/>
          <w:b/>
          <w:color w:val="auto"/>
          <w:sz w:val="26"/>
          <w:szCs w:val="26"/>
        </w:rPr>
        <w:lastRenderedPageBreak/>
        <w:t>ATTENTES DES SYSTEMES ALIMENTAIRES NATIONAUX POUR LA PROCHAINE DECENNIE</w:t>
      </w:r>
      <w:bookmarkEnd w:id="17"/>
      <w:bookmarkEnd w:id="18"/>
      <w:bookmarkEnd w:id="19"/>
      <w:bookmarkEnd w:id="20"/>
      <w:bookmarkEnd w:id="21"/>
      <w:bookmarkEnd w:id="22"/>
    </w:p>
    <w:p w14:paraId="25F55D8E" w14:textId="77777777" w:rsidR="00B44427" w:rsidRDefault="002F284A" w:rsidP="00B44427">
      <w:pPr>
        <w:spacing w:after="240" w:line="276" w:lineRule="auto"/>
        <w:jc w:val="both"/>
        <w:rPr>
          <w:rFonts w:ascii="Rockwell" w:hAnsi="Rockwell"/>
          <w:sz w:val="26"/>
          <w:szCs w:val="26"/>
        </w:rPr>
      </w:pPr>
      <w:r w:rsidRPr="007D2F0F">
        <w:rPr>
          <w:rFonts w:ascii="Rockwell" w:hAnsi="Rockwell"/>
          <w:sz w:val="26"/>
          <w:szCs w:val="26"/>
        </w:rPr>
        <w:t xml:space="preserve">A l’horizon 2030, le Burkina Faso dispose de </w:t>
      </w:r>
      <w:r w:rsidR="00260FAB" w:rsidRPr="007D2F0F">
        <w:rPr>
          <w:rFonts w:ascii="Rockwell" w:hAnsi="Rockwell"/>
          <w:sz w:val="26"/>
          <w:szCs w:val="26"/>
        </w:rPr>
        <w:t>S</w:t>
      </w:r>
      <w:r w:rsidRPr="007D2F0F">
        <w:rPr>
          <w:rFonts w:ascii="Rockwell" w:hAnsi="Rockwell"/>
          <w:sz w:val="26"/>
          <w:szCs w:val="26"/>
        </w:rPr>
        <w:t xml:space="preserve">ystèmes </w:t>
      </w:r>
      <w:r w:rsidR="00260FAB" w:rsidRPr="007D2F0F">
        <w:rPr>
          <w:rFonts w:ascii="Rockwell" w:hAnsi="Rockwell"/>
          <w:sz w:val="26"/>
          <w:szCs w:val="26"/>
        </w:rPr>
        <w:t>A</w:t>
      </w:r>
      <w:r w:rsidRPr="007D2F0F">
        <w:rPr>
          <w:rFonts w:ascii="Rockwell" w:hAnsi="Rockwell"/>
          <w:sz w:val="26"/>
          <w:szCs w:val="26"/>
        </w:rPr>
        <w:t xml:space="preserve">limentaires durables et résilients aux différents chocs (crise sanitaire et sécuritaire, changements climatiques), assurant une sécurité alimentaire et nutritionnelle pour tous. </w:t>
      </w:r>
      <w:r w:rsidR="00A75781" w:rsidRPr="007D2F0F">
        <w:rPr>
          <w:rFonts w:ascii="Rockwell" w:hAnsi="Rockwell"/>
          <w:sz w:val="26"/>
          <w:szCs w:val="26"/>
        </w:rPr>
        <w:t>L’atteinte d’une telle vision, nécessite une volonté politique des autorités et un engagement soutenu et durable de l’ensemble des parties prenantes.</w:t>
      </w:r>
      <w:r w:rsidR="00E025E3" w:rsidRPr="007D2F0F">
        <w:rPr>
          <w:rFonts w:ascii="Rockwell" w:hAnsi="Rockwell"/>
          <w:sz w:val="26"/>
          <w:szCs w:val="26"/>
        </w:rPr>
        <w:t xml:space="preserve"> L</w:t>
      </w:r>
      <w:r w:rsidR="0055375F" w:rsidRPr="007D2F0F">
        <w:rPr>
          <w:rFonts w:ascii="Rockwell" w:hAnsi="Rockwell"/>
          <w:sz w:val="26"/>
          <w:szCs w:val="26"/>
        </w:rPr>
        <w:t xml:space="preserve">es actions spécifiques stratégiques et opérationnelles à mettre en œuvre en fonction des </w:t>
      </w:r>
      <w:r w:rsidR="009D4CFF" w:rsidRPr="007D2F0F">
        <w:rPr>
          <w:rFonts w:ascii="Rockwell" w:hAnsi="Rockwell"/>
          <w:sz w:val="26"/>
          <w:szCs w:val="26"/>
        </w:rPr>
        <w:t xml:space="preserve">cinq </w:t>
      </w:r>
      <w:r w:rsidR="0055375F" w:rsidRPr="007D2F0F">
        <w:rPr>
          <w:rFonts w:ascii="Rockwell" w:hAnsi="Rockwell"/>
          <w:sz w:val="26"/>
          <w:szCs w:val="26"/>
        </w:rPr>
        <w:t>(</w:t>
      </w:r>
      <w:r w:rsidR="009D4CFF" w:rsidRPr="007D2F0F">
        <w:rPr>
          <w:rFonts w:ascii="Rockwell" w:hAnsi="Rockwell"/>
          <w:sz w:val="26"/>
          <w:szCs w:val="26"/>
        </w:rPr>
        <w:t>5</w:t>
      </w:r>
      <w:r w:rsidR="0055375F" w:rsidRPr="007D2F0F">
        <w:rPr>
          <w:rFonts w:ascii="Rockwell" w:hAnsi="Rockwell"/>
          <w:sz w:val="26"/>
          <w:szCs w:val="26"/>
        </w:rPr>
        <w:t>) attentes qui caractérisent le système alimentaire</w:t>
      </w:r>
      <w:r w:rsidR="00C12D38" w:rsidRPr="007D2F0F">
        <w:rPr>
          <w:rFonts w:ascii="Rockwell" w:hAnsi="Rockwell"/>
          <w:sz w:val="26"/>
          <w:szCs w:val="26"/>
        </w:rPr>
        <w:t xml:space="preserve"> sont les suivantes</w:t>
      </w:r>
      <w:r w:rsidR="0055375F" w:rsidRPr="007D2F0F">
        <w:rPr>
          <w:rFonts w:ascii="Rockwell" w:hAnsi="Rockwell"/>
          <w:sz w:val="26"/>
          <w:szCs w:val="26"/>
        </w:rPr>
        <w:t>.</w:t>
      </w:r>
    </w:p>
    <w:p w14:paraId="52CB82C0" w14:textId="5112DA8A" w:rsidR="009F14B6" w:rsidRPr="00B44427" w:rsidRDefault="009F14B6" w:rsidP="007311C0">
      <w:pPr>
        <w:pStyle w:val="Titre2"/>
      </w:pPr>
      <w:bookmarkStart w:id="23" w:name="_Toc82164349"/>
      <w:r w:rsidRPr="00B44427">
        <w:t>Production agro-sylvo-pastorale halieutique et faunique, diversifiée, suffisante</w:t>
      </w:r>
      <w:r w:rsidR="00522FF6" w:rsidRPr="00B44427">
        <w:t>,</w:t>
      </w:r>
      <w:r w:rsidRPr="00B44427">
        <w:t xml:space="preserve"> de qualité et s’inscrivant dans la durabilité</w:t>
      </w:r>
      <w:bookmarkEnd w:id="23"/>
    </w:p>
    <w:p w14:paraId="5FD170CB" w14:textId="77777777" w:rsidR="00C5019C" w:rsidRDefault="009F14B6" w:rsidP="007D2F0F">
      <w:pPr>
        <w:spacing w:after="240" w:line="276" w:lineRule="auto"/>
        <w:jc w:val="both"/>
        <w:rPr>
          <w:rFonts w:ascii="Rockwell" w:hAnsi="Rockwell"/>
          <w:sz w:val="26"/>
          <w:szCs w:val="26"/>
        </w:rPr>
      </w:pPr>
      <w:r w:rsidRPr="007D2F0F">
        <w:rPr>
          <w:rFonts w:ascii="Rockwell" w:hAnsi="Rockwell"/>
          <w:sz w:val="26"/>
          <w:szCs w:val="26"/>
        </w:rPr>
        <w:t xml:space="preserve">Pour atteindre cette attente il faut </w:t>
      </w:r>
      <w:r w:rsidR="009D4CFF" w:rsidRPr="007D2F0F">
        <w:rPr>
          <w:rFonts w:ascii="Rockwell" w:hAnsi="Rockwell"/>
          <w:sz w:val="26"/>
          <w:szCs w:val="26"/>
        </w:rPr>
        <w:t>réalis</w:t>
      </w:r>
      <w:r w:rsidR="00522FF6" w:rsidRPr="007D2F0F">
        <w:rPr>
          <w:rFonts w:ascii="Rockwell" w:hAnsi="Rockwell"/>
          <w:sz w:val="26"/>
          <w:szCs w:val="26"/>
        </w:rPr>
        <w:t>er</w:t>
      </w:r>
      <w:r w:rsidRPr="007D2F0F">
        <w:rPr>
          <w:rFonts w:ascii="Rockwell" w:hAnsi="Rockwell"/>
          <w:sz w:val="26"/>
          <w:szCs w:val="26"/>
        </w:rPr>
        <w:t xml:space="preserve"> </w:t>
      </w:r>
      <w:r w:rsidR="00C12D38" w:rsidRPr="007D2F0F">
        <w:rPr>
          <w:rFonts w:ascii="Rockwell" w:hAnsi="Rockwell"/>
          <w:sz w:val="26"/>
          <w:szCs w:val="26"/>
        </w:rPr>
        <w:t xml:space="preserve">les </w:t>
      </w:r>
      <w:r w:rsidR="00522FF6" w:rsidRPr="007D2F0F">
        <w:rPr>
          <w:rFonts w:ascii="Rockwell" w:hAnsi="Rockwell"/>
          <w:sz w:val="26"/>
          <w:szCs w:val="26"/>
        </w:rPr>
        <w:t xml:space="preserve">actions </w:t>
      </w:r>
      <w:r w:rsidR="009D4CFF" w:rsidRPr="007D2F0F">
        <w:rPr>
          <w:rFonts w:ascii="Rockwell" w:hAnsi="Rockwell"/>
          <w:sz w:val="26"/>
          <w:szCs w:val="26"/>
        </w:rPr>
        <w:t>spécifiques</w:t>
      </w:r>
      <w:r w:rsidRPr="007D2F0F">
        <w:rPr>
          <w:rFonts w:ascii="Rockwell" w:hAnsi="Rockwell"/>
          <w:sz w:val="26"/>
          <w:szCs w:val="26"/>
        </w:rPr>
        <w:t xml:space="preserve"> suivantes : </w:t>
      </w:r>
    </w:p>
    <w:p w14:paraId="51D5862E" w14:textId="0898BAC7" w:rsidR="00C5019C" w:rsidRPr="00C5019C"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C5019C">
        <w:rPr>
          <w:rFonts w:ascii="Rockwell" w:hAnsi="Rockwell"/>
          <w:sz w:val="26"/>
          <w:szCs w:val="26"/>
        </w:rPr>
        <w:t xml:space="preserve">amélioration </w:t>
      </w:r>
      <w:r w:rsidR="009D4CFF" w:rsidRPr="00C5019C">
        <w:rPr>
          <w:rFonts w:ascii="Rockwell" w:hAnsi="Rockwell"/>
          <w:sz w:val="26"/>
          <w:szCs w:val="26"/>
        </w:rPr>
        <w:t xml:space="preserve">de la productivité et de la diversification du secteur ASPHF ; </w:t>
      </w:r>
    </w:p>
    <w:p w14:paraId="13A1F838" w14:textId="7F57F009"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allocation </w:t>
      </w:r>
      <w:r w:rsidR="003B6D42" w:rsidRPr="00287641">
        <w:rPr>
          <w:rFonts w:ascii="Rockwell" w:hAnsi="Rockwell"/>
          <w:sz w:val="26"/>
          <w:szCs w:val="26"/>
        </w:rPr>
        <w:t xml:space="preserve">de </w:t>
      </w:r>
      <w:r w:rsidR="009D4CFF" w:rsidRPr="00287641">
        <w:rPr>
          <w:rFonts w:ascii="Rockwell" w:hAnsi="Rockwell"/>
          <w:sz w:val="26"/>
          <w:szCs w:val="26"/>
        </w:rPr>
        <w:t>1</w:t>
      </w:r>
      <w:r w:rsidR="003B6D42" w:rsidRPr="00287641">
        <w:rPr>
          <w:rFonts w:ascii="Rockwell" w:hAnsi="Rockwell"/>
          <w:sz w:val="26"/>
          <w:szCs w:val="26"/>
        </w:rPr>
        <w:t>4</w:t>
      </w:r>
      <w:r w:rsidR="00FC44AE" w:rsidRPr="00287641">
        <w:rPr>
          <w:rFonts w:ascii="Rockwell" w:hAnsi="Rockwell"/>
          <w:sz w:val="26"/>
          <w:szCs w:val="26"/>
        </w:rPr>
        <w:t xml:space="preserve"> </w:t>
      </w:r>
      <w:r w:rsidR="009D4CFF" w:rsidRPr="00287641">
        <w:rPr>
          <w:rFonts w:ascii="Rockwell" w:hAnsi="Rockwell"/>
          <w:sz w:val="26"/>
          <w:szCs w:val="26"/>
        </w:rPr>
        <w:t xml:space="preserve">% du budget national en investissements directs dans le secteur ASPHF ; </w:t>
      </w:r>
    </w:p>
    <w:p w14:paraId="19EAD84F" w14:textId="1663437D"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Pr="00287641">
        <w:rPr>
          <w:rFonts w:ascii="Rockwell" w:hAnsi="Rockwell"/>
          <w:sz w:val="26"/>
          <w:szCs w:val="26"/>
        </w:rPr>
        <w:t xml:space="preserve">amélioration </w:t>
      </w:r>
      <w:r w:rsidR="009D4CFF" w:rsidRPr="00287641">
        <w:rPr>
          <w:rFonts w:ascii="Rockwell" w:hAnsi="Rockwell"/>
          <w:sz w:val="26"/>
          <w:szCs w:val="26"/>
        </w:rPr>
        <w:t>de la sécurisation foncière rurale</w:t>
      </w:r>
      <w:r w:rsidR="00FC44AE" w:rsidRPr="00287641">
        <w:rPr>
          <w:rFonts w:ascii="Rockwell" w:hAnsi="Rockwell"/>
          <w:sz w:val="26"/>
          <w:szCs w:val="26"/>
        </w:rPr>
        <w:t xml:space="preserve"> </w:t>
      </w:r>
      <w:r w:rsidR="00287641">
        <w:rPr>
          <w:rFonts w:ascii="Rockwell" w:hAnsi="Rockwell"/>
          <w:sz w:val="26"/>
          <w:szCs w:val="26"/>
        </w:rPr>
        <w:t>;</w:t>
      </w:r>
    </w:p>
    <w:p w14:paraId="7B0781FF" w14:textId="32871FAD"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mobilisation</w:t>
      </w:r>
      <w:r w:rsidR="009D4CFF" w:rsidRPr="00287641">
        <w:rPr>
          <w:rFonts w:ascii="Rockwell" w:hAnsi="Rockwell"/>
          <w:sz w:val="26"/>
          <w:szCs w:val="26"/>
        </w:rPr>
        <w:t>, protection et gestion intégrée des ressources en eau (souterraine et de su</w:t>
      </w:r>
      <w:r w:rsidR="00287641">
        <w:rPr>
          <w:rFonts w:ascii="Rockwell" w:hAnsi="Rockwell"/>
          <w:sz w:val="26"/>
          <w:szCs w:val="26"/>
        </w:rPr>
        <w:t>rface) en quantité suffisante ;</w:t>
      </w:r>
    </w:p>
    <w:p w14:paraId="085032CF" w14:textId="6F2CA0B5"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amélioration </w:t>
      </w:r>
      <w:r w:rsidR="003B6D42" w:rsidRPr="00287641">
        <w:rPr>
          <w:rFonts w:ascii="Rockwell" w:hAnsi="Rockwell"/>
          <w:sz w:val="26"/>
          <w:szCs w:val="26"/>
        </w:rPr>
        <w:t xml:space="preserve">du disponible fourrager et des points d’abreuvement ; </w:t>
      </w:r>
    </w:p>
    <w:p w14:paraId="7ACFDB1F" w14:textId="21A3C386"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valorisation </w:t>
      </w:r>
      <w:r w:rsidR="009D4CFF" w:rsidRPr="00287641">
        <w:rPr>
          <w:rFonts w:ascii="Rockwell" w:hAnsi="Rockwell"/>
          <w:sz w:val="26"/>
          <w:szCs w:val="26"/>
        </w:rPr>
        <w:t>du potentie</w:t>
      </w:r>
      <w:r w:rsidR="00287641">
        <w:rPr>
          <w:rFonts w:ascii="Rockwell" w:hAnsi="Rockwell"/>
          <w:sz w:val="26"/>
          <w:szCs w:val="26"/>
        </w:rPr>
        <w:t>l génétique des races locales ;</w:t>
      </w:r>
    </w:p>
    <w:p w14:paraId="569CA2E7" w14:textId="571BC6D2"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amélioration </w:t>
      </w:r>
      <w:r w:rsidR="009D4CFF" w:rsidRPr="00287641">
        <w:rPr>
          <w:rFonts w:ascii="Rockwell" w:hAnsi="Rockwell"/>
          <w:sz w:val="26"/>
          <w:szCs w:val="26"/>
        </w:rPr>
        <w:t>de la disponibilité</w:t>
      </w:r>
      <w:r w:rsidR="003B6D42" w:rsidRPr="00287641">
        <w:rPr>
          <w:rFonts w:ascii="Rockwell" w:hAnsi="Rockwell"/>
          <w:sz w:val="26"/>
          <w:szCs w:val="26"/>
        </w:rPr>
        <w:t xml:space="preserve">, de la compétitivité et de l’accessibilité </w:t>
      </w:r>
      <w:r w:rsidR="009D4CFF" w:rsidRPr="00287641">
        <w:rPr>
          <w:rFonts w:ascii="Rockwell" w:hAnsi="Rockwell"/>
          <w:sz w:val="26"/>
          <w:szCs w:val="26"/>
        </w:rPr>
        <w:t xml:space="preserve">des produits ASPHF ; </w:t>
      </w:r>
    </w:p>
    <w:p w14:paraId="0D02CA7C" w14:textId="44B74E62"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9D4CFF" w:rsidRPr="00287641">
        <w:rPr>
          <w:rFonts w:ascii="Rockwell" w:hAnsi="Rockwell"/>
          <w:sz w:val="26"/>
          <w:szCs w:val="26"/>
        </w:rPr>
        <w:t>de l’agroforesterie</w:t>
      </w:r>
      <w:r w:rsidR="003B6D42" w:rsidRPr="00287641">
        <w:rPr>
          <w:rFonts w:ascii="Rockwell" w:hAnsi="Rockwell"/>
          <w:sz w:val="26"/>
          <w:szCs w:val="26"/>
        </w:rPr>
        <w:t xml:space="preserve"> ; de l’agroécologie</w:t>
      </w:r>
      <w:r w:rsidR="009D4CFF" w:rsidRPr="00287641">
        <w:rPr>
          <w:rFonts w:ascii="Rockwell" w:hAnsi="Rockwell"/>
          <w:sz w:val="26"/>
          <w:szCs w:val="26"/>
        </w:rPr>
        <w:t xml:space="preserve"> et la mise en place de jardins nutritifs pour une </w:t>
      </w:r>
      <w:r w:rsidR="003B6D42" w:rsidRPr="00287641">
        <w:rPr>
          <w:rFonts w:ascii="Rockwell" w:hAnsi="Rockwell"/>
          <w:sz w:val="26"/>
          <w:szCs w:val="26"/>
        </w:rPr>
        <w:t xml:space="preserve">production </w:t>
      </w:r>
      <w:r w:rsidR="009D4CFF" w:rsidRPr="00287641">
        <w:rPr>
          <w:rFonts w:ascii="Rockwell" w:hAnsi="Rockwell"/>
          <w:sz w:val="26"/>
          <w:szCs w:val="26"/>
        </w:rPr>
        <w:t>climato-intelligente</w:t>
      </w:r>
      <w:r w:rsidR="003B6D42" w:rsidRPr="00287641">
        <w:rPr>
          <w:rFonts w:ascii="Rockwell" w:hAnsi="Rockwell"/>
          <w:sz w:val="26"/>
          <w:szCs w:val="26"/>
        </w:rPr>
        <w:t> ;</w:t>
      </w:r>
    </w:p>
    <w:p w14:paraId="15C01105" w14:textId="3D2F1378"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de la conservation </w:t>
      </w:r>
      <w:r w:rsidR="00522FF6" w:rsidRPr="00287641">
        <w:rPr>
          <w:rFonts w:ascii="Rockwell" w:hAnsi="Rockwell"/>
          <w:sz w:val="26"/>
          <w:szCs w:val="26"/>
        </w:rPr>
        <w:t xml:space="preserve">des terres </w:t>
      </w:r>
      <w:r w:rsidR="009D4CFF" w:rsidRPr="00287641">
        <w:rPr>
          <w:rFonts w:ascii="Rockwell" w:hAnsi="Rockwell"/>
          <w:sz w:val="26"/>
          <w:szCs w:val="26"/>
        </w:rPr>
        <w:t xml:space="preserve">et la restauration de </w:t>
      </w:r>
      <w:r w:rsidR="00522FF6" w:rsidRPr="00287641">
        <w:rPr>
          <w:rFonts w:ascii="Rockwell" w:hAnsi="Rockwell"/>
          <w:sz w:val="26"/>
          <w:szCs w:val="26"/>
        </w:rPr>
        <w:t xml:space="preserve">celles </w:t>
      </w:r>
      <w:r w:rsidR="009D4CFF" w:rsidRPr="00287641">
        <w:rPr>
          <w:rFonts w:ascii="Rockwell" w:hAnsi="Rockwell"/>
          <w:sz w:val="26"/>
          <w:szCs w:val="26"/>
        </w:rPr>
        <w:t>dégradées</w:t>
      </w:r>
      <w:bookmarkStart w:id="24" w:name="_Hlk80968098"/>
      <w:r w:rsidR="00FC44AE" w:rsidRPr="00287641">
        <w:rPr>
          <w:rFonts w:ascii="Rockwell" w:hAnsi="Rockwell"/>
          <w:sz w:val="26"/>
          <w:szCs w:val="26"/>
        </w:rPr>
        <w:t> ;</w:t>
      </w:r>
      <w:r w:rsidR="00522FF6" w:rsidRPr="00287641">
        <w:rPr>
          <w:rFonts w:ascii="Rockwell" w:hAnsi="Rockwell"/>
          <w:sz w:val="26"/>
          <w:szCs w:val="26"/>
        </w:rPr>
        <w:t xml:space="preserve"> </w:t>
      </w:r>
    </w:p>
    <w:p w14:paraId="7E7842A1" w14:textId="3AE1FDB9" w:rsidR="00287641" w:rsidRDefault="00522FF6" w:rsidP="002F4240">
      <w:pPr>
        <w:pStyle w:val="Paragraphedeliste"/>
        <w:numPr>
          <w:ilvl w:val="0"/>
          <w:numId w:val="8"/>
        </w:numPr>
        <w:spacing w:after="120"/>
        <w:ind w:left="1434" w:hanging="1077"/>
        <w:contextualSpacing w:val="0"/>
        <w:rPr>
          <w:rFonts w:ascii="Rockwell" w:hAnsi="Rockwell"/>
          <w:sz w:val="26"/>
          <w:szCs w:val="26"/>
        </w:rPr>
      </w:pPr>
      <w:r w:rsidRPr="00287641">
        <w:rPr>
          <w:rFonts w:ascii="Rockwell" w:hAnsi="Rockwell"/>
          <w:sz w:val="26"/>
          <w:szCs w:val="26"/>
        </w:rPr>
        <w:t>l’application des lois/textes qui enca</w:t>
      </w:r>
      <w:r w:rsidR="00FC44AE" w:rsidRPr="00287641">
        <w:rPr>
          <w:rFonts w:ascii="Rockwell" w:hAnsi="Rockwell"/>
          <w:sz w:val="26"/>
          <w:szCs w:val="26"/>
        </w:rPr>
        <w:t>drent les systèmes alimentaires ;</w:t>
      </w:r>
      <w:r w:rsidRPr="00287641">
        <w:rPr>
          <w:rFonts w:ascii="Rockwell" w:hAnsi="Rockwell"/>
          <w:sz w:val="26"/>
          <w:szCs w:val="26"/>
        </w:rPr>
        <w:t xml:space="preserve"> </w:t>
      </w:r>
    </w:p>
    <w:p w14:paraId="4C4AB854" w14:textId="1A56BC69" w:rsidR="00287641" w:rsidRDefault="00522FF6" w:rsidP="002F4240">
      <w:pPr>
        <w:pStyle w:val="Paragraphedeliste"/>
        <w:numPr>
          <w:ilvl w:val="0"/>
          <w:numId w:val="8"/>
        </w:numPr>
        <w:spacing w:after="120"/>
        <w:ind w:left="1434" w:hanging="1077"/>
        <w:contextualSpacing w:val="0"/>
        <w:rPr>
          <w:rFonts w:ascii="Rockwell" w:hAnsi="Rockwell"/>
          <w:sz w:val="26"/>
          <w:szCs w:val="26"/>
        </w:rPr>
      </w:pPr>
      <w:r w:rsidRPr="00287641">
        <w:rPr>
          <w:rFonts w:ascii="Rockwell" w:hAnsi="Rockwell"/>
          <w:sz w:val="26"/>
          <w:szCs w:val="26"/>
        </w:rPr>
        <w:t>l</w:t>
      </w:r>
      <w:r w:rsidR="00897DFF" w:rsidRPr="00287641">
        <w:rPr>
          <w:rFonts w:ascii="Rockwell" w:hAnsi="Rockwell"/>
          <w:sz w:val="26"/>
          <w:szCs w:val="26"/>
        </w:rPr>
        <w:t xml:space="preserve">a création d’emplois au profit </w:t>
      </w:r>
      <w:r w:rsidR="00FC44AE" w:rsidRPr="00287641">
        <w:rPr>
          <w:rFonts w:ascii="Rockwell" w:hAnsi="Rockwell"/>
          <w:sz w:val="26"/>
          <w:szCs w:val="26"/>
        </w:rPr>
        <w:t>des jeunes ;</w:t>
      </w:r>
    </w:p>
    <w:p w14:paraId="29C8AD90" w14:textId="2070F6CD" w:rsidR="009F14B6" w:rsidRPr="00287641" w:rsidRDefault="00522FF6" w:rsidP="002F4240">
      <w:pPr>
        <w:pStyle w:val="Paragraphedeliste"/>
        <w:numPr>
          <w:ilvl w:val="0"/>
          <w:numId w:val="8"/>
        </w:numPr>
        <w:spacing w:after="240"/>
        <w:ind w:left="1434" w:hanging="1077"/>
        <w:contextualSpacing w:val="0"/>
        <w:rPr>
          <w:rFonts w:ascii="Rockwell" w:hAnsi="Rockwell"/>
          <w:sz w:val="26"/>
          <w:szCs w:val="26"/>
        </w:rPr>
      </w:pPr>
      <w:r w:rsidRPr="00287641">
        <w:rPr>
          <w:rFonts w:ascii="Rockwell" w:hAnsi="Rockwell"/>
          <w:sz w:val="26"/>
          <w:szCs w:val="26"/>
        </w:rPr>
        <w:t xml:space="preserve">l’accompagnement des initiatives en entrepreneuriat </w:t>
      </w:r>
      <w:r w:rsidR="002F1C05" w:rsidRPr="00287641">
        <w:rPr>
          <w:rFonts w:ascii="Rockwell" w:hAnsi="Rockwell"/>
          <w:sz w:val="26"/>
          <w:szCs w:val="26"/>
        </w:rPr>
        <w:t xml:space="preserve">agricole </w:t>
      </w:r>
      <w:r w:rsidRPr="00287641">
        <w:rPr>
          <w:rFonts w:ascii="Rockwell" w:hAnsi="Rockwell"/>
          <w:sz w:val="26"/>
          <w:szCs w:val="26"/>
        </w:rPr>
        <w:t>notamment celles portées par les jeunes et les femmes</w:t>
      </w:r>
      <w:r w:rsidR="003B6D42" w:rsidRPr="00287641">
        <w:rPr>
          <w:rFonts w:ascii="Rockwell" w:hAnsi="Rockwell"/>
          <w:sz w:val="26"/>
          <w:szCs w:val="26"/>
        </w:rPr>
        <w:t>.</w:t>
      </w:r>
      <w:r w:rsidRPr="00287641">
        <w:rPr>
          <w:rFonts w:ascii="Rockwell" w:hAnsi="Rockwell"/>
          <w:sz w:val="26"/>
          <w:szCs w:val="26"/>
        </w:rPr>
        <w:t xml:space="preserve"> </w:t>
      </w:r>
      <w:bookmarkEnd w:id="24"/>
    </w:p>
    <w:p w14:paraId="02B5D165" w14:textId="2BE4F120" w:rsidR="009D4CFF" w:rsidRPr="007311C0" w:rsidRDefault="009D4CFF" w:rsidP="007311C0">
      <w:pPr>
        <w:pStyle w:val="Titre2"/>
      </w:pPr>
      <w:bookmarkStart w:id="25" w:name="_Toc80701290"/>
      <w:bookmarkStart w:id="26" w:name="_Toc80701578"/>
      <w:bookmarkStart w:id="27" w:name="_Toc82164350"/>
      <w:r w:rsidRPr="007311C0">
        <w:t xml:space="preserve">Transformer </w:t>
      </w:r>
      <w:r w:rsidR="004E75FC" w:rsidRPr="007311C0">
        <w:t>3</w:t>
      </w:r>
      <w:r w:rsidR="00C12D38" w:rsidRPr="007311C0">
        <w:t>5</w:t>
      </w:r>
      <w:r w:rsidR="00FC44AE" w:rsidRPr="007311C0">
        <w:t xml:space="preserve"> </w:t>
      </w:r>
      <w:r w:rsidR="00C12D38" w:rsidRPr="007311C0">
        <w:t>% d</w:t>
      </w:r>
      <w:r w:rsidRPr="007311C0">
        <w:t xml:space="preserve">es produits </w:t>
      </w:r>
      <w:r w:rsidR="003B6D42" w:rsidRPr="007311C0">
        <w:t xml:space="preserve">ASPHF </w:t>
      </w:r>
      <w:r w:rsidRPr="007311C0">
        <w:t>en garantissant une qualité nutritionnelle et sanitaire</w:t>
      </w:r>
      <w:r w:rsidR="003B6D42" w:rsidRPr="007311C0">
        <w:t xml:space="preserve"> d’ici à</w:t>
      </w:r>
      <w:r w:rsidRPr="007311C0">
        <w:t xml:space="preserve"> </w:t>
      </w:r>
      <w:r w:rsidR="004E75FC" w:rsidRPr="007311C0">
        <w:t>2030</w:t>
      </w:r>
      <w:bookmarkEnd w:id="25"/>
      <w:bookmarkEnd w:id="26"/>
      <w:bookmarkEnd w:id="27"/>
    </w:p>
    <w:p w14:paraId="3026FC35" w14:textId="77777777" w:rsidR="00287641" w:rsidRDefault="009D4CFF" w:rsidP="00287641">
      <w:pPr>
        <w:spacing w:after="120" w:line="276" w:lineRule="auto"/>
        <w:jc w:val="both"/>
        <w:rPr>
          <w:rFonts w:ascii="Rockwell" w:hAnsi="Rockwell"/>
          <w:b/>
          <w:sz w:val="26"/>
          <w:szCs w:val="26"/>
        </w:rPr>
      </w:pPr>
      <w:r w:rsidRPr="007D2F0F">
        <w:rPr>
          <w:rFonts w:ascii="Rockwell" w:hAnsi="Rockwell"/>
          <w:bCs/>
          <w:sz w:val="26"/>
          <w:szCs w:val="26"/>
        </w:rPr>
        <w:t>Pour cette attente il faut</w:t>
      </w:r>
      <w:r w:rsidRPr="007D2F0F">
        <w:rPr>
          <w:rFonts w:ascii="Rockwell" w:hAnsi="Rockwell"/>
          <w:b/>
          <w:sz w:val="26"/>
          <w:szCs w:val="26"/>
        </w:rPr>
        <w:t xml:space="preserve"> : </w:t>
      </w:r>
    </w:p>
    <w:p w14:paraId="21627129" w14:textId="151F4512" w:rsidR="00287641" w:rsidRPr="00287641" w:rsidRDefault="00287641" w:rsidP="002F4240">
      <w:pPr>
        <w:pStyle w:val="Paragraphedeliste"/>
        <w:numPr>
          <w:ilvl w:val="0"/>
          <w:numId w:val="9"/>
        </w:numPr>
        <w:ind w:left="1434" w:hanging="1077"/>
        <w:contextualSpacing w:val="0"/>
        <w:rPr>
          <w:rFonts w:ascii="Rockwell" w:hAnsi="Rockwell"/>
          <w:sz w:val="26"/>
          <w:szCs w:val="26"/>
        </w:rPr>
      </w:pPr>
      <w:r w:rsidRPr="00287641">
        <w:rPr>
          <w:rFonts w:ascii="Rockwell" w:hAnsi="Rockwell"/>
          <w:sz w:val="26"/>
          <w:szCs w:val="26"/>
        </w:rPr>
        <w:lastRenderedPageBreak/>
        <w:t xml:space="preserve">améliorer </w:t>
      </w:r>
      <w:r w:rsidR="009D4CFF" w:rsidRPr="00287641">
        <w:rPr>
          <w:rFonts w:ascii="Rockwell" w:hAnsi="Rockwell"/>
          <w:sz w:val="26"/>
          <w:szCs w:val="26"/>
        </w:rPr>
        <w:t>la transformation des produits ASPHF</w:t>
      </w:r>
      <w:r w:rsidR="00C12D38" w:rsidRPr="00287641">
        <w:rPr>
          <w:rFonts w:ascii="Rockwell" w:hAnsi="Rockwell"/>
          <w:sz w:val="26"/>
          <w:szCs w:val="26"/>
        </w:rPr>
        <w:t> ;</w:t>
      </w:r>
      <w:r w:rsidR="009D4CFF" w:rsidRPr="00287641">
        <w:rPr>
          <w:rFonts w:ascii="Rockwell" w:hAnsi="Rockwell"/>
          <w:sz w:val="26"/>
          <w:szCs w:val="26"/>
        </w:rPr>
        <w:t xml:space="preserve"> </w:t>
      </w:r>
    </w:p>
    <w:p w14:paraId="0C2F54F9" w14:textId="2A72388B" w:rsidR="00287641" w:rsidRDefault="00287641"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 xml:space="preserve">renforcer </w:t>
      </w:r>
      <w:r w:rsidR="00C12D38" w:rsidRPr="00287641">
        <w:rPr>
          <w:rFonts w:ascii="Rockwell" w:hAnsi="Rockwell"/>
          <w:sz w:val="26"/>
          <w:szCs w:val="26"/>
        </w:rPr>
        <w:t>l</w:t>
      </w:r>
      <w:r w:rsidR="009D4CFF" w:rsidRPr="00287641">
        <w:rPr>
          <w:rFonts w:ascii="Rockwell" w:hAnsi="Rockwell"/>
          <w:sz w:val="26"/>
          <w:szCs w:val="26"/>
        </w:rPr>
        <w:t xml:space="preserve">es </w:t>
      </w:r>
      <w:r w:rsidR="00C27300" w:rsidRPr="00287641">
        <w:rPr>
          <w:rFonts w:ascii="Rockwell" w:hAnsi="Rockwell"/>
          <w:sz w:val="26"/>
          <w:szCs w:val="26"/>
        </w:rPr>
        <w:t xml:space="preserve">structures </w:t>
      </w:r>
      <w:r w:rsidR="009D4CFF" w:rsidRPr="00287641">
        <w:rPr>
          <w:rFonts w:ascii="Rockwell" w:hAnsi="Rockwell"/>
          <w:sz w:val="26"/>
          <w:szCs w:val="26"/>
        </w:rPr>
        <w:t xml:space="preserve">d’analyse </w:t>
      </w:r>
      <w:r w:rsidR="00C12D38" w:rsidRPr="00287641">
        <w:rPr>
          <w:rFonts w:ascii="Rockwell" w:hAnsi="Rockwell"/>
          <w:sz w:val="26"/>
          <w:szCs w:val="26"/>
        </w:rPr>
        <w:t xml:space="preserve">de </w:t>
      </w:r>
      <w:r w:rsidR="009D4CFF" w:rsidRPr="00287641">
        <w:rPr>
          <w:rFonts w:ascii="Rockwell" w:hAnsi="Rockwell"/>
          <w:sz w:val="26"/>
          <w:szCs w:val="26"/>
        </w:rPr>
        <w:t xml:space="preserve">qualité </w:t>
      </w:r>
      <w:r w:rsidR="004E75FC" w:rsidRPr="00287641">
        <w:rPr>
          <w:rFonts w:ascii="Rockwell" w:hAnsi="Rockwell"/>
          <w:sz w:val="26"/>
          <w:szCs w:val="26"/>
        </w:rPr>
        <w:t>des produits ASPHF</w:t>
      </w:r>
      <w:r>
        <w:rPr>
          <w:rFonts w:ascii="Rockwell" w:hAnsi="Rockwell"/>
          <w:sz w:val="26"/>
          <w:szCs w:val="26"/>
        </w:rPr>
        <w:t> ;</w:t>
      </w:r>
    </w:p>
    <w:p w14:paraId="1917152F" w14:textId="47A375B8" w:rsidR="00287641" w:rsidRDefault="00287641"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 xml:space="preserve">promouvoir </w:t>
      </w:r>
      <w:r w:rsidR="00E174C6" w:rsidRPr="00287641">
        <w:rPr>
          <w:rFonts w:ascii="Rockwell" w:hAnsi="Rockwell"/>
          <w:sz w:val="26"/>
          <w:szCs w:val="26"/>
        </w:rPr>
        <w:t>l</w:t>
      </w:r>
      <w:r w:rsidR="009D4CFF" w:rsidRPr="00287641">
        <w:rPr>
          <w:rFonts w:ascii="Rockwell" w:hAnsi="Rockwell"/>
          <w:sz w:val="26"/>
          <w:szCs w:val="26"/>
        </w:rPr>
        <w:t xml:space="preserve">a certification </w:t>
      </w:r>
      <w:r w:rsidR="004E75FC" w:rsidRPr="00287641">
        <w:rPr>
          <w:rFonts w:ascii="Rockwell" w:hAnsi="Rockwell"/>
          <w:sz w:val="26"/>
          <w:szCs w:val="26"/>
        </w:rPr>
        <w:t xml:space="preserve">ainsi que la labellisation </w:t>
      </w:r>
      <w:r w:rsidR="009D4CFF" w:rsidRPr="00287641">
        <w:rPr>
          <w:rFonts w:ascii="Rockwell" w:hAnsi="Rockwell"/>
          <w:sz w:val="26"/>
          <w:szCs w:val="26"/>
        </w:rPr>
        <w:t>des produits ASPHF aux normes de qualité</w:t>
      </w:r>
      <w:r>
        <w:rPr>
          <w:rFonts w:ascii="Rockwell" w:hAnsi="Rockwell"/>
          <w:sz w:val="26"/>
          <w:szCs w:val="26"/>
        </w:rPr>
        <w:t> ;</w:t>
      </w:r>
      <w:r w:rsidR="00897DFF" w:rsidRPr="00287641">
        <w:rPr>
          <w:rFonts w:ascii="Rockwell" w:hAnsi="Rockwell"/>
          <w:sz w:val="26"/>
          <w:szCs w:val="26"/>
        </w:rPr>
        <w:t xml:space="preserve"> </w:t>
      </w:r>
    </w:p>
    <w:p w14:paraId="5B448408" w14:textId="25947DF9" w:rsidR="009D4CFF" w:rsidRPr="00287641" w:rsidRDefault="00897DFF"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w:t>
      </w:r>
      <w:r w:rsidR="004E75FC" w:rsidRPr="00287641">
        <w:rPr>
          <w:rFonts w:ascii="Rockwell" w:hAnsi="Rockwell"/>
          <w:sz w:val="26"/>
          <w:szCs w:val="26"/>
        </w:rPr>
        <w:t>iv</w:t>
      </w:r>
      <w:r w:rsidRPr="00287641">
        <w:rPr>
          <w:rFonts w:ascii="Rockwell" w:hAnsi="Rockwell"/>
          <w:sz w:val="26"/>
          <w:szCs w:val="26"/>
        </w:rPr>
        <w:t>) renforcer le contrôle qualité.</w:t>
      </w:r>
    </w:p>
    <w:p w14:paraId="46CE4054" w14:textId="7AEFEEE1" w:rsidR="009D4CFF" w:rsidRPr="007311C0" w:rsidRDefault="009D4CFF" w:rsidP="007311C0">
      <w:pPr>
        <w:pStyle w:val="Titre2"/>
      </w:pPr>
      <w:bookmarkStart w:id="28" w:name="_Toc82164351"/>
      <w:r w:rsidRPr="007311C0">
        <w:t xml:space="preserve">Promouvoir les bonnes habitudes de </w:t>
      </w:r>
      <w:r w:rsidR="00E174C6" w:rsidRPr="007311C0">
        <w:t>consommation, d</w:t>
      </w:r>
      <w:r w:rsidRPr="007311C0">
        <w:t xml:space="preserve">e modes de vie sains et valoriser les productions </w:t>
      </w:r>
      <w:r w:rsidR="00E025E3" w:rsidRPr="007311C0">
        <w:t>locales</w:t>
      </w:r>
      <w:bookmarkEnd w:id="28"/>
    </w:p>
    <w:p w14:paraId="4AA33DE7" w14:textId="0399B989" w:rsidR="00287641" w:rsidRDefault="009D4CFF" w:rsidP="007D2F0F">
      <w:pPr>
        <w:spacing w:after="240" w:line="276" w:lineRule="auto"/>
        <w:jc w:val="both"/>
        <w:rPr>
          <w:rFonts w:ascii="Rockwell" w:hAnsi="Rockwell"/>
          <w:sz w:val="26"/>
          <w:szCs w:val="26"/>
        </w:rPr>
      </w:pPr>
      <w:r w:rsidRPr="007D2F0F">
        <w:rPr>
          <w:rFonts w:ascii="Rockwell" w:hAnsi="Rockwell"/>
          <w:sz w:val="26"/>
          <w:szCs w:val="26"/>
        </w:rPr>
        <w:t xml:space="preserve">Dans le cadre de l’atteinte de cette attente </w:t>
      </w:r>
      <w:r w:rsidR="00C82758" w:rsidRPr="007D2F0F">
        <w:rPr>
          <w:rFonts w:ascii="Rockwell" w:hAnsi="Rockwell"/>
          <w:sz w:val="26"/>
          <w:szCs w:val="26"/>
        </w:rPr>
        <w:t xml:space="preserve">les Actions sont les </w:t>
      </w:r>
      <w:r w:rsidR="00287641" w:rsidRPr="007D2F0F">
        <w:rPr>
          <w:rFonts w:ascii="Rockwell" w:hAnsi="Rockwell"/>
          <w:sz w:val="26"/>
          <w:szCs w:val="26"/>
        </w:rPr>
        <w:t>suivantes :</w:t>
      </w:r>
      <w:r w:rsidR="004E69A5" w:rsidRPr="007D2F0F">
        <w:rPr>
          <w:rFonts w:ascii="Rockwell" w:hAnsi="Rockwell"/>
          <w:sz w:val="26"/>
          <w:szCs w:val="26"/>
        </w:rPr>
        <w:t xml:space="preserve"> </w:t>
      </w:r>
    </w:p>
    <w:p w14:paraId="3B6F6B13" w14:textId="3275D273" w:rsidR="00287641" w:rsidRP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mise </w:t>
      </w:r>
      <w:r w:rsidR="009D4CFF" w:rsidRPr="00287641">
        <w:rPr>
          <w:rFonts w:ascii="Rockwell" w:hAnsi="Rockwell"/>
          <w:sz w:val="26"/>
          <w:szCs w:val="26"/>
        </w:rPr>
        <w:t>en œuvre de l’</w:t>
      </w:r>
      <w:r w:rsidR="00C82758" w:rsidRPr="00287641">
        <w:rPr>
          <w:rFonts w:ascii="Rockwell" w:hAnsi="Rockwell"/>
          <w:sz w:val="26"/>
          <w:szCs w:val="26"/>
        </w:rPr>
        <w:t>I</w:t>
      </w:r>
      <w:r w:rsidR="009D4CFF" w:rsidRPr="00287641">
        <w:rPr>
          <w:rFonts w:ascii="Rockwell" w:hAnsi="Rockwell"/>
          <w:sz w:val="26"/>
          <w:szCs w:val="26"/>
        </w:rPr>
        <w:t>nitiative « Assurer à chaque enfant en âge scolaire au moins un repas équilibré par jour »</w:t>
      </w:r>
      <w:r w:rsidR="00FC44AE" w:rsidRPr="00287641">
        <w:rPr>
          <w:rFonts w:ascii="Rockwell" w:hAnsi="Rockwell"/>
          <w:sz w:val="26"/>
          <w:szCs w:val="26"/>
        </w:rPr>
        <w:t xml:space="preserve"> </w:t>
      </w:r>
      <w:r w:rsidR="009D4CFF" w:rsidRPr="00287641">
        <w:rPr>
          <w:rFonts w:ascii="Rockwell" w:hAnsi="Rockwell"/>
          <w:sz w:val="26"/>
          <w:szCs w:val="26"/>
        </w:rPr>
        <w:t xml:space="preserve">; </w:t>
      </w:r>
    </w:p>
    <w:p w14:paraId="3B68A05F" w14:textId="52AA059F"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réalisation </w:t>
      </w:r>
      <w:r w:rsidR="009D4CFF" w:rsidRPr="00287641">
        <w:rPr>
          <w:rFonts w:ascii="Rockwell" w:hAnsi="Rockwell"/>
          <w:sz w:val="26"/>
          <w:szCs w:val="26"/>
        </w:rPr>
        <w:t xml:space="preserve">de l’accès universel à l’approvisionnement à l’eau potable ; </w:t>
      </w:r>
    </w:p>
    <w:p w14:paraId="39F42977" w14:textId="408B701F"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4E75FC" w:rsidRPr="00287641">
        <w:rPr>
          <w:rFonts w:ascii="Rockwell" w:hAnsi="Rockwell"/>
          <w:sz w:val="26"/>
          <w:szCs w:val="26"/>
        </w:rPr>
        <w:t>de l’hygiène afin de prévenir les maladies transmissibles y compris les maladies diarrhé</w:t>
      </w:r>
      <w:r w:rsidR="00FC44AE" w:rsidRPr="00287641">
        <w:rPr>
          <w:rFonts w:ascii="Rockwell" w:hAnsi="Rockwell"/>
          <w:sz w:val="26"/>
          <w:szCs w:val="26"/>
        </w:rPr>
        <w:t xml:space="preserve">iques ; </w:t>
      </w:r>
    </w:p>
    <w:p w14:paraId="5E111DBC" w14:textId="407D4CE4"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réalisation </w:t>
      </w:r>
      <w:r w:rsidR="009D4CFF" w:rsidRPr="00287641">
        <w:rPr>
          <w:rFonts w:ascii="Rockwell" w:hAnsi="Rockwell"/>
          <w:sz w:val="26"/>
          <w:szCs w:val="26"/>
        </w:rPr>
        <w:t xml:space="preserve">de l’accès universel à </w:t>
      </w:r>
      <w:r w:rsidR="004E69A5" w:rsidRPr="00287641">
        <w:rPr>
          <w:rFonts w:ascii="Rockwell" w:hAnsi="Rockwell"/>
          <w:sz w:val="26"/>
          <w:szCs w:val="26"/>
        </w:rPr>
        <w:t>l’assainissement ;</w:t>
      </w:r>
      <w:r w:rsidR="00313C65" w:rsidRPr="00287641">
        <w:rPr>
          <w:rFonts w:ascii="Rockwell" w:hAnsi="Rockwell"/>
          <w:sz w:val="26"/>
          <w:szCs w:val="26"/>
        </w:rPr>
        <w:t xml:space="preserve"> </w:t>
      </w:r>
    </w:p>
    <w:p w14:paraId="325C9060" w14:textId="47C8F47E"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313C65" w:rsidRPr="00287641">
        <w:rPr>
          <w:rFonts w:ascii="Rockwell" w:hAnsi="Rockwell"/>
          <w:sz w:val="26"/>
          <w:szCs w:val="26"/>
        </w:rPr>
        <w:t>de la p</w:t>
      </w:r>
      <w:r w:rsidR="009D4CFF" w:rsidRPr="00287641">
        <w:rPr>
          <w:rFonts w:ascii="Rockwell" w:hAnsi="Rockwell"/>
          <w:sz w:val="26"/>
          <w:szCs w:val="26"/>
        </w:rPr>
        <w:t xml:space="preserve">romotion </w:t>
      </w:r>
      <w:r w:rsidR="00313C65" w:rsidRPr="00287641">
        <w:rPr>
          <w:rFonts w:ascii="Rockwell" w:hAnsi="Rockwell"/>
          <w:sz w:val="26"/>
          <w:szCs w:val="26"/>
        </w:rPr>
        <w:t xml:space="preserve">de </w:t>
      </w:r>
      <w:r w:rsidR="009D4CFF" w:rsidRPr="00287641">
        <w:rPr>
          <w:rFonts w:ascii="Rockwell" w:hAnsi="Rockwell"/>
          <w:sz w:val="26"/>
          <w:szCs w:val="26"/>
        </w:rPr>
        <w:t>la consommation des produits locaux</w:t>
      </w:r>
      <w:r w:rsidR="00C82758" w:rsidRPr="00287641">
        <w:rPr>
          <w:rFonts w:ascii="Rockwell" w:hAnsi="Rockwell"/>
          <w:sz w:val="26"/>
          <w:szCs w:val="26"/>
        </w:rPr>
        <w:t xml:space="preserve"> ; </w:t>
      </w:r>
    </w:p>
    <w:p w14:paraId="51146D17" w14:textId="0B0A7AB9"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du cadre règlementaire et législatif en faveur </w:t>
      </w:r>
      <w:r w:rsidR="00313C65" w:rsidRPr="00287641">
        <w:rPr>
          <w:rFonts w:ascii="Rockwell" w:hAnsi="Rockwell"/>
          <w:sz w:val="26"/>
          <w:szCs w:val="26"/>
        </w:rPr>
        <w:t xml:space="preserve">de </w:t>
      </w:r>
      <w:r w:rsidR="009D4CFF" w:rsidRPr="00287641">
        <w:rPr>
          <w:rFonts w:ascii="Rockwell" w:hAnsi="Rockwell"/>
          <w:sz w:val="26"/>
          <w:szCs w:val="26"/>
        </w:rPr>
        <w:t>la sécurité sanitaire des aliments</w:t>
      </w:r>
      <w:r w:rsidR="00C82758" w:rsidRPr="00287641">
        <w:rPr>
          <w:rFonts w:ascii="Rockwell" w:hAnsi="Rockwell"/>
          <w:sz w:val="26"/>
          <w:szCs w:val="26"/>
        </w:rPr>
        <w:t> ;</w:t>
      </w:r>
      <w:r w:rsidR="009D4CFF" w:rsidRPr="00287641">
        <w:rPr>
          <w:rFonts w:ascii="Rockwell" w:hAnsi="Rockwell"/>
          <w:sz w:val="26"/>
          <w:szCs w:val="26"/>
        </w:rPr>
        <w:t xml:space="preserve"> </w:t>
      </w:r>
    </w:p>
    <w:p w14:paraId="6C9697A7" w14:textId="4F65BBB5" w:rsidR="00287641" w:rsidRDefault="00287641" w:rsidP="002F4240">
      <w:pPr>
        <w:pStyle w:val="Paragraphedeliste"/>
        <w:numPr>
          <w:ilvl w:val="0"/>
          <w:numId w:val="10"/>
        </w:numPr>
        <w:spacing w:after="120"/>
        <w:contextualSpacing w:val="0"/>
        <w:rPr>
          <w:rFonts w:ascii="Rockwell" w:hAnsi="Rockwell"/>
          <w:sz w:val="26"/>
          <w:szCs w:val="26"/>
        </w:rPr>
      </w:pPr>
      <w:r w:rsidRPr="00287641">
        <w:rPr>
          <w:rFonts w:ascii="Rockwell" w:hAnsi="Rockwell"/>
          <w:sz w:val="26"/>
          <w:szCs w:val="26"/>
        </w:rPr>
        <w:t xml:space="preserve">renforcement </w:t>
      </w:r>
      <w:r w:rsidR="009D4CFF" w:rsidRPr="00287641">
        <w:rPr>
          <w:rFonts w:ascii="Rockwell" w:hAnsi="Rockwell"/>
          <w:sz w:val="26"/>
          <w:szCs w:val="26"/>
        </w:rPr>
        <w:t xml:space="preserve">de la lutte contre les maladies à caractère endémique (Covid-19, choléra, Ebola, etc.) ; </w:t>
      </w:r>
    </w:p>
    <w:p w14:paraId="31EE03F9" w14:textId="46B09F67"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des actions en faveur de la nutrition maternelle et infantile avec passage à l’échelle du plan Alimentation du Nourrisson et du Jeune Enfant (ANJE) ; </w:t>
      </w:r>
    </w:p>
    <w:p w14:paraId="184E6AA7" w14:textId="737127D3"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allocation </w:t>
      </w:r>
      <w:r w:rsidR="009D4CFF" w:rsidRPr="00287641">
        <w:rPr>
          <w:rFonts w:ascii="Rockwell" w:hAnsi="Rockwell"/>
          <w:sz w:val="26"/>
          <w:szCs w:val="26"/>
        </w:rPr>
        <w:t>de 3</w:t>
      </w:r>
      <w:r w:rsidR="00BA6E7D" w:rsidRPr="00287641">
        <w:rPr>
          <w:rFonts w:ascii="Rockwell" w:hAnsi="Rockwell"/>
          <w:sz w:val="26"/>
          <w:szCs w:val="26"/>
        </w:rPr>
        <w:t xml:space="preserve"> </w:t>
      </w:r>
      <w:r w:rsidR="009D4CFF" w:rsidRPr="00287641">
        <w:rPr>
          <w:rFonts w:ascii="Rockwell" w:hAnsi="Rockwell"/>
          <w:sz w:val="26"/>
          <w:szCs w:val="26"/>
        </w:rPr>
        <w:t xml:space="preserve">% du financement domestique en faveur </w:t>
      </w:r>
      <w:r w:rsidR="00313C65" w:rsidRPr="00287641">
        <w:rPr>
          <w:rFonts w:ascii="Rockwell" w:hAnsi="Rockwell"/>
          <w:sz w:val="26"/>
          <w:szCs w:val="26"/>
        </w:rPr>
        <w:t xml:space="preserve">de </w:t>
      </w:r>
      <w:r w:rsidR="009D4CFF" w:rsidRPr="00287641">
        <w:rPr>
          <w:rFonts w:ascii="Rockwell" w:hAnsi="Rockwell"/>
          <w:sz w:val="26"/>
          <w:szCs w:val="26"/>
        </w:rPr>
        <w:t>la nutrition</w:t>
      </w:r>
      <w:r w:rsidR="004E75FC" w:rsidRPr="00287641">
        <w:rPr>
          <w:rFonts w:ascii="Rockwell" w:hAnsi="Rockwell"/>
          <w:sz w:val="26"/>
          <w:szCs w:val="26"/>
        </w:rPr>
        <w:t xml:space="preserve"> ; </w:t>
      </w:r>
    </w:p>
    <w:p w14:paraId="40E4DE54" w14:textId="5711AFF7" w:rsidR="009D4CFF" w:rsidRPr="00287641" w:rsidRDefault="00317CBE" w:rsidP="002F4240">
      <w:pPr>
        <w:pStyle w:val="Paragraphedeliste"/>
        <w:numPr>
          <w:ilvl w:val="0"/>
          <w:numId w:val="10"/>
        </w:numPr>
        <w:spacing w:after="24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4E75FC" w:rsidRPr="00287641">
        <w:rPr>
          <w:rFonts w:ascii="Rockwell" w:hAnsi="Rockwell"/>
          <w:sz w:val="26"/>
          <w:szCs w:val="26"/>
        </w:rPr>
        <w:t>de l’information et de l’éducation nutritionnelle des populations</w:t>
      </w:r>
      <w:r w:rsidR="00BA6E7D" w:rsidRPr="00287641">
        <w:rPr>
          <w:rFonts w:ascii="Rockwell" w:hAnsi="Rockwell"/>
          <w:sz w:val="26"/>
          <w:szCs w:val="26"/>
        </w:rPr>
        <w:t>.</w:t>
      </w:r>
    </w:p>
    <w:p w14:paraId="113ACA4C" w14:textId="2222FA12" w:rsidR="009D4CFF" w:rsidRPr="007311C0" w:rsidRDefault="009D4CFF" w:rsidP="007311C0">
      <w:pPr>
        <w:pStyle w:val="Titre2"/>
      </w:pPr>
      <w:bookmarkStart w:id="29" w:name="_Toc82164352"/>
      <w:r w:rsidRPr="007311C0">
        <w:t xml:space="preserve">Assurer la fluidité des échanges entre les zones de </w:t>
      </w:r>
      <w:r w:rsidR="000630D0" w:rsidRPr="007311C0">
        <w:t>production,</w:t>
      </w:r>
      <w:r w:rsidR="004E75FC" w:rsidRPr="007311C0">
        <w:t xml:space="preserve"> de transformation </w:t>
      </w:r>
      <w:r w:rsidRPr="007311C0">
        <w:t>et de consommation à travers des infrastructures et des moyens de transport adaptés</w:t>
      </w:r>
      <w:bookmarkEnd w:id="29"/>
    </w:p>
    <w:p w14:paraId="0CDEF5B5" w14:textId="77777777" w:rsidR="00287641" w:rsidRDefault="009D4CFF" w:rsidP="003C1FF5">
      <w:pPr>
        <w:spacing w:after="120" w:line="276" w:lineRule="auto"/>
        <w:jc w:val="both"/>
        <w:rPr>
          <w:rFonts w:ascii="Rockwell" w:hAnsi="Rockwell"/>
          <w:sz w:val="26"/>
          <w:szCs w:val="26"/>
        </w:rPr>
      </w:pPr>
      <w:r w:rsidRPr="007D2F0F">
        <w:rPr>
          <w:rFonts w:ascii="Rockwell" w:hAnsi="Rockwell"/>
          <w:sz w:val="26"/>
          <w:szCs w:val="26"/>
        </w:rPr>
        <w:t xml:space="preserve">Pour </w:t>
      </w:r>
      <w:r w:rsidR="00E025E3" w:rsidRPr="007D2F0F">
        <w:rPr>
          <w:rFonts w:ascii="Rockwell" w:hAnsi="Rockwell"/>
          <w:sz w:val="26"/>
          <w:szCs w:val="26"/>
        </w:rPr>
        <w:t>réaliser</w:t>
      </w:r>
      <w:r w:rsidRPr="007D2F0F">
        <w:rPr>
          <w:rFonts w:ascii="Rockwell" w:hAnsi="Rockwell"/>
          <w:sz w:val="26"/>
          <w:szCs w:val="26"/>
        </w:rPr>
        <w:t xml:space="preserve"> cette attente i</w:t>
      </w:r>
      <w:r w:rsidR="00313C65" w:rsidRPr="007D2F0F">
        <w:rPr>
          <w:rFonts w:ascii="Rockwell" w:hAnsi="Rockwell"/>
          <w:sz w:val="26"/>
          <w:szCs w:val="26"/>
        </w:rPr>
        <w:t>l</w:t>
      </w:r>
      <w:r w:rsidRPr="007D2F0F">
        <w:rPr>
          <w:rFonts w:ascii="Rockwell" w:hAnsi="Rockwell"/>
          <w:sz w:val="26"/>
          <w:szCs w:val="26"/>
        </w:rPr>
        <w:t xml:space="preserve"> faut</w:t>
      </w:r>
      <w:r w:rsidR="00313C65" w:rsidRPr="007D2F0F">
        <w:rPr>
          <w:rFonts w:ascii="Rockwell" w:hAnsi="Rockwell"/>
          <w:sz w:val="26"/>
          <w:szCs w:val="26"/>
        </w:rPr>
        <w:t xml:space="preserve"> : </w:t>
      </w:r>
    </w:p>
    <w:p w14:paraId="0C32577E" w14:textId="6A374AE9" w:rsidR="00287641" w:rsidRPr="00287641" w:rsidRDefault="00287641" w:rsidP="002F4240">
      <w:pPr>
        <w:pStyle w:val="Paragraphedeliste"/>
        <w:numPr>
          <w:ilvl w:val="0"/>
          <w:numId w:val="11"/>
        </w:numPr>
        <w:spacing w:after="120"/>
        <w:ind w:left="1434" w:hanging="1077"/>
        <w:contextualSpacing w:val="0"/>
        <w:rPr>
          <w:rFonts w:ascii="Rockwell" w:hAnsi="Rockwell"/>
          <w:sz w:val="26"/>
          <w:szCs w:val="26"/>
        </w:rPr>
      </w:pPr>
      <w:r w:rsidRPr="00287641">
        <w:rPr>
          <w:rFonts w:ascii="Rockwell" w:hAnsi="Rockwell"/>
          <w:sz w:val="26"/>
          <w:szCs w:val="26"/>
        </w:rPr>
        <w:lastRenderedPageBreak/>
        <w:t xml:space="preserve">le </w:t>
      </w:r>
      <w:r w:rsidR="003C1FF5" w:rsidRPr="00287641">
        <w:rPr>
          <w:rFonts w:ascii="Rockwell" w:hAnsi="Rockwell"/>
          <w:sz w:val="26"/>
          <w:szCs w:val="26"/>
        </w:rPr>
        <w:t xml:space="preserve">renforcement </w:t>
      </w:r>
      <w:r w:rsidR="009D4CFF" w:rsidRPr="00287641">
        <w:rPr>
          <w:rFonts w:ascii="Rockwell" w:hAnsi="Rockwell"/>
          <w:sz w:val="26"/>
          <w:szCs w:val="26"/>
        </w:rPr>
        <w:t xml:space="preserve">des mesures incitatives pour le renouvellement </w:t>
      </w:r>
      <w:r w:rsidR="00313C65" w:rsidRPr="00287641">
        <w:rPr>
          <w:rFonts w:ascii="Rockwell" w:hAnsi="Rockwell"/>
          <w:sz w:val="26"/>
          <w:szCs w:val="26"/>
        </w:rPr>
        <w:t xml:space="preserve">périodique </w:t>
      </w:r>
      <w:r w:rsidR="009D4CFF" w:rsidRPr="00287641">
        <w:rPr>
          <w:rFonts w:ascii="Rockwell" w:hAnsi="Rockwell"/>
          <w:sz w:val="26"/>
          <w:szCs w:val="26"/>
        </w:rPr>
        <w:t>du parc automobile de transport des produits alimentaires </w:t>
      </w:r>
      <w:r w:rsidR="00313C65" w:rsidRPr="00287641">
        <w:rPr>
          <w:rFonts w:ascii="Rockwell" w:hAnsi="Rockwell"/>
          <w:sz w:val="26"/>
          <w:szCs w:val="26"/>
        </w:rPr>
        <w:t>(« de 25</w:t>
      </w:r>
      <w:r w:rsidR="007F3063" w:rsidRPr="00287641">
        <w:rPr>
          <w:rFonts w:ascii="Rockwell" w:hAnsi="Rockwell"/>
          <w:sz w:val="26"/>
          <w:szCs w:val="26"/>
        </w:rPr>
        <w:t xml:space="preserve"> </w:t>
      </w:r>
      <w:r w:rsidR="00313C65" w:rsidRPr="00287641">
        <w:rPr>
          <w:rFonts w:ascii="Rockwell" w:hAnsi="Rockwell"/>
          <w:sz w:val="26"/>
          <w:szCs w:val="26"/>
        </w:rPr>
        <w:t xml:space="preserve">% d’ici </w:t>
      </w:r>
      <w:r w:rsidR="007D4262">
        <w:rPr>
          <w:rFonts w:ascii="Rockwell" w:hAnsi="Rockwell"/>
          <w:sz w:val="26"/>
          <w:szCs w:val="26"/>
        </w:rPr>
        <w:t xml:space="preserve">à </w:t>
      </w:r>
      <w:r w:rsidR="00313C65" w:rsidRPr="00287641">
        <w:rPr>
          <w:rFonts w:ascii="Rockwell" w:hAnsi="Rockwell"/>
          <w:sz w:val="26"/>
          <w:szCs w:val="26"/>
        </w:rPr>
        <w:t xml:space="preserve">2030 ») </w:t>
      </w:r>
      <w:r w:rsidR="009D4CFF" w:rsidRPr="00287641">
        <w:rPr>
          <w:rFonts w:ascii="Rockwell" w:hAnsi="Rockwell"/>
          <w:sz w:val="26"/>
          <w:szCs w:val="26"/>
        </w:rPr>
        <w:t xml:space="preserve">; </w:t>
      </w:r>
    </w:p>
    <w:p w14:paraId="355197EA" w14:textId="02A96F3E"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 xml:space="preserve">le </w:t>
      </w:r>
      <w:r w:rsidRPr="00287641">
        <w:rPr>
          <w:rFonts w:ascii="Rockwell" w:hAnsi="Rockwell"/>
          <w:sz w:val="26"/>
          <w:szCs w:val="26"/>
        </w:rPr>
        <w:t xml:space="preserve">renforcement </w:t>
      </w:r>
      <w:r w:rsidR="009D4CFF" w:rsidRPr="00287641">
        <w:rPr>
          <w:rFonts w:ascii="Rockwell" w:hAnsi="Rockwell"/>
          <w:sz w:val="26"/>
          <w:szCs w:val="26"/>
        </w:rPr>
        <w:t>du réseau routier (provincial</w:t>
      </w:r>
      <w:r w:rsidR="00313C65" w:rsidRPr="00287641">
        <w:rPr>
          <w:rFonts w:ascii="Rockwell" w:hAnsi="Rockwell"/>
          <w:sz w:val="26"/>
          <w:szCs w:val="26"/>
        </w:rPr>
        <w:t>,</w:t>
      </w:r>
      <w:r w:rsidR="009D4CFF" w:rsidRPr="00287641">
        <w:rPr>
          <w:rFonts w:ascii="Rockwell" w:hAnsi="Rockwell"/>
          <w:sz w:val="26"/>
          <w:szCs w:val="26"/>
        </w:rPr>
        <w:t xml:space="preserve"> départemental </w:t>
      </w:r>
      <w:r w:rsidR="00313C65" w:rsidRPr="00287641">
        <w:rPr>
          <w:rFonts w:ascii="Rockwell" w:hAnsi="Rockwell"/>
          <w:sz w:val="26"/>
          <w:szCs w:val="26"/>
        </w:rPr>
        <w:t>et des zo</w:t>
      </w:r>
      <w:r w:rsidR="009D4CFF" w:rsidRPr="00287641">
        <w:rPr>
          <w:rFonts w:ascii="Rockwell" w:hAnsi="Rockwell"/>
          <w:sz w:val="26"/>
          <w:szCs w:val="26"/>
        </w:rPr>
        <w:t>nes de</w:t>
      </w:r>
      <w:r w:rsidR="000630D0" w:rsidRPr="00287641">
        <w:rPr>
          <w:rFonts w:ascii="Rockwell" w:hAnsi="Rockwell"/>
          <w:sz w:val="26"/>
          <w:szCs w:val="26"/>
        </w:rPr>
        <w:t xml:space="preserve"> fortes</w:t>
      </w:r>
      <w:r w:rsidR="009D4CFF" w:rsidRPr="00287641">
        <w:rPr>
          <w:rFonts w:ascii="Rockwell" w:hAnsi="Rockwell"/>
          <w:sz w:val="26"/>
          <w:szCs w:val="26"/>
        </w:rPr>
        <w:t xml:space="preserve"> production</w:t>
      </w:r>
      <w:r w:rsidR="000630D0" w:rsidRPr="00287641">
        <w:rPr>
          <w:rFonts w:ascii="Rockwell" w:hAnsi="Rockwell"/>
          <w:sz w:val="26"/>
          <w:szCs w:val="26"/>
        </w:rPr>
        <w:t>s</w:t>
      </w:r>
      <w:r w:rsidR="009D4CFF" w:rsidRPr="00287641">
        <w:rPr>
          <w:rFonts w:ascii="Rockwell" w:hAnsi="Rockwell"/>
          <w:sz w:val="26"/>
          <w:szCs w:val="26"/>
        </w:rPr>
        <w:t xml:space="preserve">) et </w:t>
      </w:r>
      <w:r w:rsidR="00E174C6" w:rsidRPr="00287641">
        <w:rPr>
          <w:rFonts w:ascii="Rockwell" w:hAnsi="Rockwell"/>
          <w:sz w:val="26"/>
          <w:szCs w:val="26"/>
        </w:rPr>
        <w:t>ferroviaire</w:t>
      </w:r>
      <w:r w:rsidR="00BA6E7D" w:rsidRPr="00287641">
        <w:rPr>
          <w:rFonts w:ascii="Rockwell" w:hAnsi="Rockwell"/>
          <w:sz w:val="26"/>
          <w:szCs w:val="26"/>
        </w:rPr>
        <w:t> ;</w:t>
      </w:r>
      <w:r w:rsidR="00E174C6" w:rsidRPr="00287641">
        <w:rPr>
          <w:rFonts w:ascii="Rockwell" w:hAnsi="Rockwell"/>
          <w:sz w:val="26"/>
          <w:szCs w:val="26"/>
        </w:rPr>
        <w:t xml:space="preserve"> </w:t>
      </w:r>
    </w:p>
    <w:p w14:paraId="58C53F8F" w14:textId="3025769D"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le développement</w:t>
      </w:r>
      <w:r w:rsidRPr="00287641">
        <w:rPr>
          <w:rFonts w:ascii="Rockwell" w:hAnsi="Rockwell"/>
          <w:sz w:val="26"/>
          <w:szCs w:val="26"/>
        </w:rPr>
        <w:t xml:space="preserve"> </w:t>
      </w:r>
      <w:r w:rsidR="000630D0" w:rsidRPr="00287641">
        <w:rPr>
          <w:rFonts w:ascii="Rockwell" w:hAnsi="Rockwell"/>
          <w:sz w:val="26"/>
          <w:szCs w:val="26"/>
        </w:rPr>
        <w:t xml:space="preserve">des infrastructures de stockage et de conservation des produits ASPHF sur les sites de production, de transformation et de commercialisation ; </w:t>
      </w:r>
    </w:p>
    <w:p w14:paraId="605C5B1F" w14:textId="6CD3753D"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 xml:space="preserve">le </w:t>
      </w:r>
      <w:r w:rsidRPr="00287641">
        <w:rPr>
          <w:rFonts w:ascii="Rockwell" w:hAnsi="Rockwell"/>
          <w:sz w:val="26"/>
          <w:szCs w:val="26"/>
        </w:rPr>
        <w:t xml:space="preserve">développement </w:t>
      </w:r>
      <w:r w:rsidR="009D4CFF" w:rsidRPr="00287641">
        <w:rPr>
          <w:rFonts w:ascii="Rockwell" w:hAnsi="Rockwell"/>
          <w:sz w:val="26"/>
          <w:szCs w:val="26"/>
        </w:rPr>
        <w:t>du partenariat entre les acteurs des Systèmes Alimentaires</w:t>
      </w:r>
      <w:r w:rsidR="00313C65" w:rsidRPr="00287641">
        <w:rPr>
          <w:rFonts w:ascii="Rockwell" w:hAnsi="Rockwell"/>
          <w:sz w:val="26"/>
          <w:szCs w:val="26"/>
        </w:rPr>
        <w:t xml:space="preserve"> (alliance productive, agriculture contractuelle, etc.)</w:t>
      </w:r>
      <w:r w:rsidR="000630D0" w:rsidRPr="00287641">
        <w:rPr>
          <w:rFonts w:ascii="Rockwell" w:hAnsi="Rockwell"/>
          <w:sz w:val="26"/>
          <w:szCs w:val="26"/>
        </w:rPr>
        <w:t> ;</w:t>
      </w:r>
    </w:p>
    <w:p w14:paraId="2915697E" w14:textId="6F0E4B70" w:rsidR="009D4CFF" w:rsidRPr="00287641"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l’</w:t>
      </w:r>
      <w:r w:rsidRPr="00287641">
        <w:rPr>
          <w:rFonts w:ascii="Rockwell" w:hAnsi="Rockwell"/>
          <w:sz w:val="26"/>
          <w:szCs w:val="26"/>
        </w:rPr>
        <w:t xml:space="preserve">amélioration </w:t>
      </w:r>
      <w:r w:rsidR="000630D0" w:rsidRPr="00287641">
        <w:rPr>
          <w:rFonts w:ascii="Rockwell" w:hAnsi="Rockwell"/>
          <w:sz w:val="26"/>
          <w:szCs w:val="26"/>
        </w:rPr>
        <w:t>de l’accès à l’énergie.</w:t>
      </w:r>
    </w:p>
    <w:p w14:paraId="3AB2C466" w14:textId="007FD61B" w:rsidR="00E025E3" w:rsidRPr="007311C0" w:rsidRDefault="00E025E3" w:rsidP="007311C0">
      <w:pPr>
        <w:pStyle w:val="Titre2"/>
      </w:pPr>
      <w:bookmarkStart w:id="30" w:name="_Toc82164353"/>
      <w:r w:rsidRPr="007311C0">
        <w:t>Renforcer les capacités des acteurs des Systèmes Alimentaires et leur résilience aux aléas</w:t>
      </w:r>
      <w:bookmarkEnd w:id="30"/>
    </w:p>
    <w:p w14:paraId="0C6B8551" w14:textId="77777777" w:rsidR="00317CBE" w:rsidRDefault="00E025E3" w:rsidP="007D2F0F">
      <w:pPr>
        <w:spacing w:after="240" w:line="276" w:lineRule="auto"/>
        <w:jc w:val="both"/>
        <w:rPr>
          <w:rFonts w:ascii="Rockwell" w:hAnsi="Rockwell"/>
          <w:sz w:val="26"/>
          <w:szCs w:val="26"/>
        </w:rPr>
      </w:pPr>
      <w:r w:rsidRPr="007D2F0F">
        <w:rPr>
          <w:rFonts w:ascii="Rockwell" w:hAnsi="Rockwell"/>
          <w:sz w:val="26"/>
          <w:szCs w:val="26"/>
        </w:rPr>
        <w:t>Pour cette attente i</w:t>
      </w:r>
      <w:r w:rsidR="00313C65" w:rsidRPr="007D2F0F">
        <w:rPr>
          <w:rFonts w:ascii="Rockwell" w:hAnsi="Rockwell"/>
          <w:sz w:val="26"/>
          <w:szCs w:val="26"/>
        </w:rPr>
        <w:t>l</w:t>
      </w:r>
      <w:r w:rsidRPr="007D2F0F">
        <w:rPr>
          <w:rFonts w:ascii="Rockwell" w:hAnsi="Rockwell"/>
          <w:sz w:val="26"/>
          <w:szCs w:val="26"/>
        </w:rPr>
        <w:t xml:space="preserve"> faut</w:t>
      </w:r>
      <w:r w:rsidR="00C82758" w:rsidRPr="007D2F0F">
        <w:rPr>
          <w:rFonts w:ascii="Rockwell" w:hAnsi="Rockwell"/>
          <w:sz w:val="26"/>
          <w:szCs w:val="26"/>
        </w:rPr>
        <w:t xml:space="preserve"> : </w:t>
      </w:r>
    </w:p>
    <w:p w14:paraId="7F0E80AA" w14:textId="253AC1BC" w:rsidR="00317CBE" w:rsidRP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r</w:t>
      </w:r>
      <w:r w:rsidRPr="00317CBE">
        <w:rPr>
          <w:rFonts w:ascii="Rockwell" w:hAnsi="Rockwell"/>
          <w:sz w:val="26"/>
          <w:szCs w:val="26"/>
        </w:rPr>
        <w:t xml:space="preserve"> </w:t>
      </w:r>
      <w:r w:rsidR="00C82758" w:rsidRPr="00317CBE">
        <w:rPr>
          <w:rFonts w:ascii="Rockwell" w:hAnsi="Rockwell"/>
          <w:sz w:val="26"/>
          <w:szCs w:val="26"/>
        </w:rPr>
        <w:t xml:space="preserve">les </w:t>
      </w:r>
      <w:r w:rsidRPr="00317CBE">
        <w:rPr>
          <w:rFonts w:ascii="Rockwell" w:hAnsi="Rockwell"/>
          <w:sz w:val="26"/>
          <w:szCs w:val="26"/>
        </w:rPr>
        <w:t xml:space="preserve">capacités techniques et opérationnelles des acteurs des Systèmes Alimentaires ; </w:t>
      </w:r>
    </w:p>
    <w:p w14:paraId="4F1EE066" w14:textId="29BD959F" w:rsidR="00317CBE" w:rsidRDefault="000630D0"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 xml:space="preserve">promouvoir la professionnalisation et l’autonomisation </w:t>
      </w:r>
      <w:r w:rsidR="00C82758" w:rsidRPr="00317CBE">
        <w:rPr>
          <w:rFonts w:ascii="Rockwell" w:hAnsi="Rockwell"/>
          <w:sz w:val="26"/>
          <w:szCs w:val="26"/>
        </w:rPr>
        <w:t>l</w:t>
      </w:r>
      <w:r w:rsidR="00E025E3" w:rsidRPr="00317CBE">
        <w:rPr>
          <w:rFonts w:ascii="Rockwell" w:hAnsi="Rockwell"/>
          <w:sz w:val="26"/>
          <w:szCs w:val="26"/>
        </w:rPr>
        <w:t xml:space="preserve">es acteurs directs et indirects des filières ASPHF ; </w:t>
      </w:r>
    </w:p>
    <w:p w14:paraId="2F5A2700" w14:textId="57167841"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r</w:t>
      </w:r>
      <w:r w:rsidR="00E174C6" w:rsidRPr="00317CBE">
        <w:rPr>
          <w:rFonts w:ascii="Rockwell" w:hAnsi="Rockwell"/>
          <w:sz w:val="26"/>
          <w:szCs w:val="26"/>
        </w:rPr>
        <w:t xml:space="preserve"> </w:t>
      </w:r>
      <w:r w:rsidR="00C82758" w:rsidRPr="00317CBE">
        <w:rPr>
          <w:rFonts w:ascii="Rockwell" w:hAnsi="Rockwell"/>
          <w:sz w:val="26"/>
          <w:szCs w:val="26"/>
        </w:rPr>
        <w:t>les</w:t>
      </w:r>
      <w:r w:rsidRPr="00317CBE">
        <w:rPr>
          <w:rFonts w:ascii="Rockwell" w:hAnsi="Rockwell"/>
          <w:sz w:val="26"/>
          <w:szCs w:val="26"/>
        </w:rPr>
        <w:t xml:space="preserve"> moyens de prévention</w:t>
      </w:r>
      <w:r w:rsidR="000630D0" w:rsidRPr="00317CBE">
        <w:rPr>
          <w:rFonts w:ascii="Rockwell" w:hAnsi="Rockwell"/>
          <w:sz w:val="26"/>
          <w:szCs w:val="26"/>
        </w:rPr>
        <w:t xml:space="preserve"> et de réponse humanitaire rapide en faveur des personnes affectées par les </w:t>
      </w:r>
      <w:r w:rsidRPr="00317CBE">
        <w:rPr>
          <w:rFonts w:ascii="Rockwell" w:hAnsi="Rockwell"/>
          <w:sz w:val="26"/>
          <w:szCs w:val="26"/>
        </w:rPr>
        <w:t xml:space="preserve"> conflits et les crises alimentaires</w:t>
      </w:r>
      <w:r w:rsidR="00C82758" w:rsidRPr="00317CBE">
        <w:rPr>
          <w:rFonts w:ascii="Rockwell" w:hAnsi="Rockwell"/>
          <w:sz w:val="26"/>
          <w:szCs w:val="26"/>
        </w:rPr>
        <w:t> ;</w:t>
      </w:r>
      <w:r w:rsidRPr="00317CBE">
        <w:rPr>
          <w:rFonts w:ascii="Rockwell" w:hAnsi="Rockwell"/>
          <w:sz w:val="26"/>
          <w:szCs w:val="26"/>
        </w:rPr>
        <w:t xml:space="preserve"> </w:t>
      </w:r>
    </w:p>
    <w:p w14:paraId="299F2070" w14:textId="646F8747"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 xml:space="preserve">r le </w:t>
      </w:r>
      <w:r w:rsidRPr="00317CBE">
        <w:rPr>
          <w:rFonts w:ascii="Rockwell" w:hAnsi="Rockwell"/>
          <w:sz w:val="26"/>
          <w:szCs w:val="26"/>
        </w:rPr>
        <w:t xml:space="preserve">relèvement durable des populations affectées par les conflits et les </w:t>
      </w:r>
      <w:r w:rsidR="000630D0" w:rsidRPr="00317CBE">
        <w:rPr>
          <w:rFonts w:ascii="Rockwell" w:hAnsi="Rockwell"/>
          <w:sz w:val="26"/>
          <w:szCs w:val="26"/>
        </w:rPr>
        <w:t xml:space="preserve">différentes </w:t>
      </w:r>
      <w:r w:rsidRPr="00317CBE">
        <w:rPr>
          <w:rFonts w:ascii="Rockwell" w:hAnsi="Rockwell"/>
          <w:sz w:val="26"/>
          <w:szCs w:val="26"/>
        </w:rPr>
        <w:t xml:space="preserve">crises ; </w:t>
      </w:r>
    </w:p>
    <w:p w14:paraId="62395575" w14:textId="2CA6D224"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w:t>
      </w:r>
      <w:r w:rsidR="00E174C6" w:rsidRPr="00317CBE">
        <w:rPr>
          <w:rFonts w:ascii="Rockwell" w:hAnsi="Rockwell"/>
          <w:sz w:val="26"/>
          <w:szCs w:val="26"/>
        </w:rPr>
        <w:t>r</w:t>
      </w:r>
      <w:r w:rsidRPr="00317CBE">
        <w:rPr>
          <w:rFonts w:ascii="Rockwell" w:hAnsi="Rockwell"/>
          <w:sz w:val="26"/>
          <w:szCs w:val="26"/>
        </w:rPr>
        <w:t xml:space="preserve"> </w:t>
      </w:r>
      <w:r w:rsidR="00E174C6" w:rsidRPr="00317CBE">
        <w:rPr>
          <w:rFonts w:ascii="Rockwell" w:hAnsi="Rockwell"/>
          <w:sz w:val="26"/>
          <w:szCs w:val="26"/>
        </w:rPr>
        <w:t xml:space="preserve">les </w:t>
      </w:r>
      <w:r w:rsidRPr="00317CBE">
        <w:rPr>
          <w:rFonts w:ascii="Rockwell" w:hAnsi="Rockwell"/>
          <w:sz w:val="26"/>
          <w:szCs w:val="26"/>
        </w:rPr>
        <w:t>systèmes d’information</w:t>
      </w:r>
      <w:r w:rsidR="00313C65" w:rsidRPr="00317CBE">
        <w:rPr>
          <w:rFonts w:ascii="Rockwell" w:hAnsi="Rockwell"/>
          <w:sz w:val="26"/>
          <w:szCs w:val="26"/>
        </w:rPr>
        <w:t>,</w:t>
      </w:r>
      <w:r w:rsidRPr="00317CBE">
        <w:rPr>
          <w:rFonts w:ascii="Rockwell" w:hAnsi="Rockwell"/>
          <w:sz w:val="26"/>
          <w:szCs w:val="26"/>
        </w:rPr>
        <w:t xml:space="preserve"> d’alerte précoce </w:t>
      </w:r>
      <w:r w:rsidR="00BA6E7D" w:rsidRPr="00317CBE">
        <w:rPr>
          <w:rFonts w:ascii="Rockwell" w:hAnsi="Rockwell"/>
          <w:sz w:val="26"/>
          <w:szCs w:val="26"/>
        </w:rPr>
        <w:t xml:space="preserve">et de réponse </w:t>
      </w:r>
      <w:r w:rsidRPr="00317CBE">
        <w:rPr>
          <w:rFonts w:ascii="Rockwell" w:hAnsi="Rockwell"/>
          <w:sz w:val="26"/>
          <w:szCs w:val="26"/>
        </w:rPr>
        <w:t>;</w:t>
      </w:r>
    </w:p>
    <w:p w14:paraId="56CD491F" w14:textId="123FD75E"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w:t>
      </w:r>
      <w:r w:rsidR="00C82758" w:rsidRPr="00317CBE">
        <w:rPr>
          <w:rFonts w:ascii="Rockwell" w:hAnsi="Rockwell"/>
          <w:sz w:val="26"/>
          <w:szCs w:val="26"/>
        </w:rPr>
        <w:t>r</w:t>
      </w:r>
      <w:r w:rsidRPr="00317CBE">
        <w:rPr>
          <w:rFonts w:ascii="Rockwell" w:hAnsi="Rockwell"/>
          <w:sz w:val="26"/>
          <w:szCs w:val="26"/>
        </w:rPr>
        <w:t xml:space="preserve"> </w:t>
      </w:r>
      <w:r w:rsidR="000630D0" w:rsidRPr="00317CBE">
        <w:rPr>
          <w:rFonts w:ascii="Rockwell" w:hAnsi="Rockwell"/>
          <w:sz w:val="26"/>
          <w:szCs w:val="26"/>
        </w:rPr>
        <w:t>d</w:t>
      </w:r>
      <w:r w:rsidR="00313C65" w:rsidRPr="00317CBE">
        <w:rPr>
          <w:rFonts w:ascii="Rockwell" w:hAnsi="Rockwell"/>
          <w:sz w:val="26"/>
          <w:szCs w:val="26"/>
        </w:rPr>
        <w:t xml:space="preserve">es </w:t>
      </w:r>
      <w:r w:rsidRPr="00317CBE">
        <w:rPr>
          <w:rFonts w:ascii="Rockwell" w:hAnsi="Rockwell"/>
          <w:sz w:val="26"/>
          <w:szCs w:val="26"/>
        </w:rPr>
        <w:t xml:space="preserve">systèmes d’assurance dans les secteurs des systèmes alimentaires </w:t>
      </w:r>
      <w:r w:rsidR="000630D0" w:rsidRPr="00317CBE">
        <w:rPr>
          <w:rFonts w:ascii="Rockwell" w:hAnsi="Rockwell"/>
          <w:sz w:val="26"/>
          <w:szCs w:val="26"/>
        </w:rPr>
        <w:t xml:space="preserve"> et des catastrophes naturelles</w:t>
      </w:r>
      <w:r w:rsidR="00BA6E7D" w:rsidRPr="00317CBE">
        <w:rPr>
          <w:rFonts w:ascii="Rockwell" w:hAnsi="Rockwell"/>
          <w:sz w:val="26"/>
          <w:szCs w:val="26"/>
        </w:rPr>
        <w:t xml:space="preserve"> </w:t>
      </w:r>
      <w:r w:rsidRPr="00317CBE">
        <w:rPr>
          <w:rFonts w:ascii="Rockwell" w:hAnsi="Rockwell"/>
          <w:sz w:val="26"/>
          <w:szCs w:val="26"/>
        </w:rPr>
        <w:t>;</w:t>
      </w:r>
      <w:r w:rsidR="00313C65" w:rsidRPr="00317CBE">
        <w:rPr>
          <w:rFonts w:ascii="Rockwell" w:hAnsi="Rockwell"/>
          <w:sz w:val="26"/>
          <w:szCs w:val="26"/>
        </w:rPr>
        <w:t xml:space="preserve"> </w:t>
      </w:r>
    </w:p>
    <w:p w14:paraId="36E8E4A7" w14:textId="73FFB779" w:rsidR="00317CBE" w:rsidRDefault="00313C65"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développer des services de pollinisation</w:t>
      </w:r>
      <w:r w:rsidR="00BA6E7D" w:rsidRPr="00317CBE">
        <w:rPr>
          <w:rFonts w:ascii="Rockwell" w:hAnsi="Rockwell"/>
          <w:sz w:val="26"/>
          <w:szCs w:val="26"/>
        </w:rPr>
        <w:t> ;</w:t>
      </w:r>
      <w:r w:rsidR="000630D0" w:rsidRPr="00317CBE">
        <w:rPr>
          <w:rFonts w:ascii="Rockwell" w:hAnsi="Rockwell"/>
          <w:sz w:val="26"/>
          <w:szCs w:val="26"/>
        </w:rPr>
        <w:t xml:space="preserve"> </w:t>
      </w:r>
    </w:p>
    <w:p w14:paraId="77255DC9" w14:textId="4AEED9DA" w:rsidR="00E025E3" w:rsidRPr="00317CBE" w:rsidRDefault="000630D0"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 xml:space="preserve">renforcer les capacités des structures techniques en charge de la gestion des crises </w:t>
      </w:r>
      <w:r w:rsidR="00087434" w:rsidRPr="00317CBE">
        <w:rPr>
          <w:rFonts w:ascii="Rockwell" w:hAnsi="Rockwell"/>
          <w:sz w:val="26"/>
          <w:szCs w:val="26"/>
        </w:rPr>
        <w:t>et des catastrophes humanitaires</w:t>
      </w:r>
      <w:r w:rsidR="00313C65" w:rsidRPr="00317CBE">
        <w:rPr>
          <w:rFonts w:ascii="Rockwell" w:hAnsi="Rockwell"/>
          <w:sz w:val="26"/>
          <w:szCs w:val="26"/>
        </w:rPr>
        <w:t>.</w:t>
      </w:r>
    </w:p>
    <w:p w14:paraId="5D031E36" w14:textId="69C2A946" w:rsidR="006271B8"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31" w:name="_Toc80701146"/>
      <w:bookmarkStart w:id="32" w:name="_Toc80701212"/>
      <w:bookmarkStart w:id="33" w:name="_Toc80701347"/>
      <w:bookmarkStart w:id="34" w:name="_Toc80701424"/>
      <w:bookmarkStart w:id="35" w:name="_Toc80701568"/>
      <w:bookmarkStart w:id="36" w:name="_Toc80701635"/>
      <w:bookmarkStart w:id="37" w:name="_Toc80650214"/>
      <w:bookmarkStart w:id="38" w:name="_Toc80650437"/>
      <w:bookmarkStart w:id="39" w:name="_Toc80650465"/>
      <w:bookmarkStart w:id="40" w:name="_Toc80701348"/>
      <w:bookmarkStart w:id="41" w:name="_Toc80701636"/>
      <w:bookmarkStart w:id="42" w:name="_Toc82164354"/>
      <w:bookmarkEnd w:id="31"/>
      <w:bookmarkEnd w:id="32"/>
      <w:bookmarkEnd w:id="33"/>
      <w:bookmarkEnd w:id="34"/>
      <w:bookmarkEnd w:id="35"/>
      <w:bookmarkEnd w:id="36"/>
      <w:r w:rsidRPr="007D2F0F">
        <w:rPr>
          <w:rFonts w:ascii="Rockwell" w:hAnsi="Rockwell" w:cs="Times New Roman"/>
          <w:b/>
          <w:color w:val="auto"/>
          <w:sz w:val="26"/>
          <w:szCs w:val="26"/>
        </w:rPr>
        <w:t>ACTIONS FORTES A MENER DANS LE COURT TERME (TROIS PREMIERES ANNEES)</w:t>
      </w:r>
      <w:bookmarkStart w:id="43" w:name="_Toc80701349"/>
      <w:bookmarkStart w:id="44" w:name="_Toc80701637"/>
      <w:bookmarkEnd w:id="37"/>
      <w:bookmarkEnd w:id="38"/>
      <w:bookmarkEnd w:id="39"/>
      <w:bookmarkEnd w:id="40"/>
      <w:bookmarkEnd w:id="41"/>
      <w:bookmarkEnd w:id="43"/>
      <w:bookmarkEnd w:id="44"/>
      <w:bookmarkEnd w:id="42"/>
    </w:p>
    <w:p w14:paraId="0A61BD73" w14:textId="77777777" w:rsidR="000C1283" w:rsidRPr="007D2F0F" w:rsidRDefault="006271B8" w:rsidP="007D2F0F">
      <w:pPr>
        <w:spacing w:after="240" w:line="276" w:lineRule="auto"/>
        <w:jc w:val="both"/>
        <w:rPr>
          <w:rFonts w:ascii="Rockwell" w:hAnsi="Rockwell"/>
          <w:sz w:val="26"/>
          <w:szCs w:val="26"/>
        </w:rPr>
      </w:pPr>
      <w:r w:rsidRPr="007D2F0F">
        <w:rPr>
          <w:rFonts w:ascii="Rockwell" w:hAnsi="Rockwell"/>
          <w:sz w:val="26"/>
          <w:szCs w:val="26"/>
        </w:rPr>
        <w:t xml:space="preserve">Relever les défis actuels et futurs des </w:t>
      </w:r>
      <w:r w:rsidR="00C82758" w:rsidRPr="007D2F0F">
        <w:rPr>
          <w:rFonts w:ascii="Rockwell" w:hAnsi="Rockwell"/>
          <w:sz w:val="26"/>
          <w:szCs w:val="26"/>
        </w:rPr>
        <w:t>S</w:t>
      </w:r>
      <w:r w:rsidRPr="007D2F0F">
        <w:rPr>
          <w:rFonts w:ascii="Rockwell" w:hAnsi="Rockwell"/>
          <w:sz w:val="26"/>
          <w:szCs w:val="26"/>
        </w:rPr>
        <w:t xml:space="preserve">ystèmes </w:t>
      </w:r>
      <w:r w:rsidR="00C82758" w:rsidRPr="007D2F0F">
        <w:rPr>
          <w:rFonts w:ascii="Rockwell" w:hAnsi="Rockwell"/>
          <w:sz w:val="26"/>
          <w:szCs w:val="26"/>
        </w:rPr>
        <w:t>A</w:t>
      </w:r>
      <w:r w:rsidRPr="007D2F0F">
        <w:rPr>
          <w:rFonts w:ascii="Rockwell" w:hAnsi="Rockwell"/>
          <w:sz w:val="26"/>
          <w:szCs w:val="26"/>
        </w:rPr>
        <w:t xml:space="preserve">limentaires implique un élargissement des leviers politiques et l’introduction de « politiques des </w:t>
      </w:r>
      <w:r w:rsidR="00C82758" w:rsidRPr="007D2F0F">
        <w:rPr>
          <w:rFonts w:ascii="Rockwell" w:hAnsi="Rockwell"/>
          <w:sz w:val="26"/>
          <w:szCs w:val="26"/>
        </w:rPr>
        <w:t>S</w:t>
      </w:r>
      <w:r w:rsidRPr="007D2F0F">
        <w:rPr>
          <w:rFonts w:ascii="Rockwell" w:hAnsi="Rockwell"/>
          <w:sz w:val="26"/>
          <w:szCs w:val="26"/>
        </w:rPr>
        <w:t xml:space="preserve">ystèmes </w:t>
      </w:r>
      <w:r w:rsidR="00C82758" w:rsidRPr="007D2F0F">
        <w:rPr>
          <w:rFonts w:ascii="Rockwell" w:hAnsi="Rockwell"/>
          <w:sz w:val="26"/>
          <w:szCs w:val="26"/>
        </w:rPr>
        <w:t>A</w:t>
      </w:r>
      <w:r w:rsidRPr="007D2F0F">
        <w:rPr>
          <w:rFonts w:ascii="Rockwell" w:hAnsi="Rockwell"/>
          <w:sz w:val="26"/>
          <w:szCs w:val="26"/>
        </w:rPr>
        <w:t xml:space="preserve">limentaires » </w:t>
      </w:r>
      <w:r w:rsidR="00E174C6" w:rsidRPr="007D2F0F">
        <w:rPr>
          <w:rFonts w:ascii="Rockwell" w:hAnsi="Rockwell"/>
          <w:sz w:val="26"/>
          <w:szCs w:val="26"/>
        </w:rPr>
        <w:t>cohérentes.</w:t>
      </w:r>
      <w:r w:rsidRPr="007D2F0F">
        <w:rPr>
          <w:rFonts w:ascii="Rockwell" w:hAnsi="Rockwell"/>
          <w:sz w:val="26"/>
          <w:szCs w:val="26"/>
        </w:rPr>
        <w:t xml:space="preserve"> L’environnement politique et stratégique est un levier </w:t>
      </w:r>
      <w:r w:rsidRPr="007D2F0F">
        <w:rPr>
          <w:rFonts w:ascii="Rockwell" w:hAnsi="Rockwell"/>
          <w:sz w:val="26"/>
          <w:szCs w:val="26"/>
        </w:rPr>
        <w:lastRenderedPageBreak/>
        <w:t xml:space="preserve">important pour réaliser les objectifs en matière de </w:t>
      </w:r>
      <w:r w:rsidR="00960E8A" w:rsidRPr="007D2F0F">
        <w:rPr>
          <w:rFonts w:ascii="Rockwell" w:hAnsi="Rockwell"/>
          <w:sz w:val="26"/>
          <w:szCs w:val="26"/>
        </w:rPr>
        <w:t>S</w:t>
      </w:r>
      <w:r w:rsidRPr="007D2F0F">
        <w:rPr>
          <w:rFonts w:ascii="Rockwell" w:hAnsi="Rockwell"/>
          <w:sz w:val="26"/>
          <w:szCs w:val="26"/>
        </w:rPr>
        <w:t>ystème</w:t>
      </w:r>
      <w:r w:rsidR="00C82758" w:rsidRPr="007D2F0F">
        <w:rPr>
          <w:rFonts w:ascii="Rockwell" w:hAnsi="Rockwell"/>
          <w:sz w:val="26"/>
          <w:szCs w:val="26"/>
        </w:rPr>
        <w:t xml:space="preserve">s </w:t>
      </w:r>
      <w:r w:rsidR="00960E8A" w:rsidRPr="007D2F0F">
        <w:rPr>
          <w:rFonts w:ascii="Rockwell" w:hAnsi="Rockwell"/>
          <w:sz w:val="26"/>
          <w:szCs w:val="26"/>
        </w:rPr>
        <w:t>A</w:t>
      </w:r>
      <w:r w:rsidRPr="007D2F0F">
        <w:rPr>
          <w:rFonts w:ascii="Rockwell" w:hAnsi="Rockwell"/>
          <w:sz w:val="26"/>
          <w:szCs w:val="26"/>
        </w:rPr>
        <w:t>limentaire</w:t>
      </w:r>
      <w:r w:rsidR="00C82758" w:rsidRPr="007D2F0F">
        <w:rPr>
          <w:rFonts w:ascii="Rockwell" w:hAnsi="Rockwell"/>
          <w:sz w:val="26"/>
          <w:szCs w:val="26"/>
        </w:rPr>
        <w:t>s</w:t>
      </w:r>
      <w:r w:rsidRPr="007D2F0F">
        <w:rPr>
          <w:rFonts w:ascii="Rockwell" w:hAnsi="Rockwell"/>
          <w:sz w:val="26"/>
          <w:szCs w:val="26"/>
        </w:rPr>
        <w:t xml:space="preserve">. </w:t>
      </w:r>
      <w:r w:rsidR="00E174C6" w:rsidRPr="007D2F0F">
        <w:rPr>
          <w:rFonts w:ascii="Rockwell" w:hAnsi="Rockwell"/>
          <w:sz w:val="26"/>
          <w:szCs w:val="26"/>
        </w:rPr>
        <w:t>Ainsi les</w:t>
      </w:r>
      <w:r w:rsidRPr="007D2F0F">
        <w:rPr>
          <w:rFonts w:ascii="Rockwell" w:hAnsi="Rockwell"/>
          <w:sz w:val="26"/>
          <w:szCs w:val="26"/>
        </w:rPr>
        <w:t xml:space="preserve"> principaux changements et actions </w:t>
      </w:r>
      <w:r w:rsidR="00E174C6" w:rsidRPr="007D2F0F">
        <w:rPr>
          <w:rFonts w:ascii="Rockwell" w:hAnsi="Rockwell"/>
          <w:sz w:val="26"/>
          <w:szCs w:val="26"/>
        </w:rPr>
        <w:t>majeurs à</w:t>
      </w:r>
      <w:r w:rsidR="00960E8A" w:rsidRPr="007D2F0F">
        <w:rPr>
          <w:rFonts w:ascii="Rockwell" w:hAnsi="Rockwell"/>
          <w:sz w:val="26"/>
          <w:szCs w:val="26"/>
        </w:rPr>
        <w:t xml:space="preserve"> mettre en </w:t>
      </w:r>
      <w:r w:rsidR="00E174C6" w:rsidRPr="007D2F0F">
        <w:rPr>
          <w:rFonts w:ascii="Rockwell" w:hAnsi="Rockwell"/>
          <w:sz w:val="26"/>
          <w:szCs w:val="26"/>
        </w:rPr>
        <w:t>œuvre pour</w:t>
      </w:r>
      <w:r w:rsidRPr="007D2F0F">
        <w:rPr>
          <w:rFonts w:ascii="Rockwell" w:hAnsi="Rockwell"/>
          <w:sz w:val="26"/>
          <w:szCs w:val="26"/>
        </w:rPr>
        <w:t xml:space="preserve"> les trois prochaines </w:t>
      </w:r>
      <w:r w:rsidR="00E174C6" w:rsidRPr="007D2F0F">
        <w:rPr>
          <w:rFonts w:ascii="Rockwell" w:hAnsi="Rockwell"/>
          <w:sz w:val="26"/>
          <w:szCs w:val="26"/>
        </w:rPr>
        <w:t>années afin de</w:t>
      </w:r>
      <w:r w:rsidRPr="007D2F0F">
        <w:rPr>
          <w:rFonts w:ascii="Rockwell" w:hAnsi="Rockwell"/>
          <w:sz w:val="26"/>
          <w:szCs w:val="26"/>
        </w:rPr>
        <w:t xml:space="preserve"> réaliser les attentes à l’horizon </w:t>
      </w:r>
      <w:r w:rsidR="00E174C6" w:rsidRPr="007D2F0F">
        <w:rPr>
          <w:rFonts w:ascii="Rockwell" w:hAnsi="Rockwell"/>
          <w:sz w:val="26"/>
          <w:szCs w:val="26"/>
        </w:rPr>
        <w:t>2030 sont</w:t>
      </w:r>
      <w:r w:rsidRPr="007D2F0F">
        <w:rPr>
          <w:rFonts w:ascii="Rockwell" w:hAnsi="Rockwell"/>
          <w:sz w:val="26"/>
          <w:szCs w:val="26"/>
        </w:rPr>
        <w:t xml:space="preserve"> : </w:t>
      </w:r>
    </w:p>
    <w:p w14:paraId="26EEE3B6" w14:textId="02419C2B" w:rsidR="00C82758" w:rsidRP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00E025E3" w:rsidRPr="00BA6E7D">
        <w:rPr>
          <w:rFonts w:ascii="Rockwell" w:hAnsi="Rockwell"/>
          <w:sz w:val="26"/>
          <w:szCs w:val="26"/>
        </w:rPr>
        <w:t>C</w:t>
      </w:r>
      <w:r w:rsidR="00896480" w:rsidRPr="00BA6E7D">
        <w:rPr>
          <w:rFonts w:ascii="Rockwell" w:hAnsi="Rockwell"/>
          <w:sz w:val="26"/>
          <w:szCs w:val="26"/>
        </w:rPr>
        <w:t xml:space="preserve">onstitutionnalisation du </w:t>
      </w:r>
      <w:r w:rsidR="00C82758" w:rsidRPr="00BA6E7D">
        <w:rPr>
          <w:rFonts w:ascii="Rockwell" w:hAnsi="Rockwell"/>
          <w:sz w:val="26"/>
          <w:szCs w:val="26"/>
        </w:rPr>
        <w:t>D</w:t>
      </w:r>
      <w:r w:rsidR="00896480" w:rsidRPr="00BA6E7D">
        <w:rPr>
          <w:rFonts w:ascii="Rockwell" w:hAnsi="Rockwell"/>
          <w:sz w:val="26"/>
          <w:szCs w:val="26"/>
        </w:rPr>
        <w:t xml:space="preserve">roit à une </w:t>
      </w:r>
      <w:r w:rsidR="00C82758" w:rsidRPr="00BA6E7D">
        <w:rPr>
          <w:rFonts w:ascii="Rockwell" w:hAnsi="Rockwell"/>
          <w:sz w:val="26"/>
          <w:szCs w:val="26"/>
        </w:rPr>
        <w:t>A</w:t>
      </w:r>
      <w:r w:rsidR="00896480" w:rsidRPr="00BA6E7D">
        <w:rPr>
          <w:rFonts w:ascii="Rockwell" w:hAnsi="Rockwell"/>
          <w:sz w:val="26"/>
          <w:szCs w:val="26"/>
        </w:rPr>
        <w:t>limentation saine diversifiée et équilibrée et dans ce cadre</w:t>
      </w:r>
      <w:r w:rsidR="001511A5">
        <w:rPr>
          <w:rFonts w:ascii="Rockwell" w:hAnsi="Rockwell"/>
          <w:sz w:val="26"/>
          <w:szCs w:val="26"/>
        </w:rPr>
        <w:t>,</w:t>
      </w:r>
      <w:r w:rsidR="00896480" w:rsidRPr="00BA6E7D">
        <w:rPr>
          <w:rFonts w:ascii="Rockwell" w:hAnsi="Rockwell"/>
          <w:sz w:val="26"/>
          <w:szCs w:val="26"/>
        </w:rPr>
        <w:t xml:space="preserve"> </w:t>
      </w:r>
      <w:r w:rsidR="00C82758" w:rsidRPr="00BA6E7D">
        <w:rPr>
          <w:rFonts w:ascii="Rockwell" w:hAnsi="Rockwell"/>
          <w:sz w:val="26"/>
          <w:szCs w:val="26"/>
        </w:rPr>
        <w:t xml:space="preserve">la mise </w:t>
      </w:r>
      <w:r w:rsidR="00896480" w:rsidRPr="00BA6E7D">
        <w:rPr>
          <w:rFonts w:ascii="Rockwell" w:hAnsi="Rockwell"/>
          <w:sz w:val="26"/>
          <w:szCs w:val="26"/>
        </w:rPr>
        <w:t xml:space="preserve">en œuvre </w:t>
      </w:r>
      <w:r w:rsidR="000C1283" w:rsidRPr="00BA6E7D">
        <w:rPr>
          <w:rFonts w:ascii="Rockwell" w:hAnsi="Rockwell"/>
          <w:sz w:val="26"/>
          <w:szCs w:val="26"/>
        </w:rPr>
        <w:t xml:space="preserve">des </w:t>
      </w:r>
      <w:r w:rsidR="00896480" w:rsidRPr="00BA6E7D">
        <w:rPr>
          <w:rFonts w:ascii="Rockwell" w:hAnsi="Rockwell"/>
          <w:sz w:val="26"/>
          <w:szCs w:val="26"/>
        </w:rPr>
        <w:t>Initiatives phares du Président du Faso portant sur la Production de « Un Million de Tonnes de Riz par An</w:t>
      </w:r>
      <w:r w:rsidR="00B70575">
        <w:rPr>
          <w:rFonts w:ascii="Rockwell" w:hAnsi="Rockwell"/>
          <w:sz w:val="26"/>
          <w:szCs w:val="26"/>
        </w:rPr>
        <w:t> »</w:t>
      </w:r>
      <w:r w:rsidR="00C82758" w:rsidRPr="00BA6E7D">
        <w:rPr>
          <w:rFonts w:ascii="Rockwell" w:hAnsi="Rockwell"/>
          <w:sz w:val="26"/>
          <w:szCs w:val="26"/>
        </w:rPr>
        <w:t xml:space="preserve">  </w:t>
      </w:r>
      <w:r w:rsidR="00896480" w:rsidRPr="00BA6E7D">
        <w:rPr>
          <w:rFonts w:ascii="Rockwell" w:hAnsi="Rockwell"/>
          <w:sz w:val="26"/>
          <w:szCs w:val="26"/>
        </w:rPr>
        <w:t>et</w:t>
      </w:r>
      <w:r w:rsidR="00B70575">
        <w:rPr>
          <w:rFonts w:ascii="Rockwell" w:hAnsi="Rockwell"/>
          <w:sz w:val="26"/>
          <w:szCs w:val="26"/>
        </w:rPr>
        <w:t xml:space="preserve"> </w:t>
      </w:r>
      <w:r w:rsidR="00B70575" w:rsidRPr="00BA6E7D">
        <w:rPr>
          <w:rFonts w:ascii="Rockwell" w:hAnsi="Rockwell"/>
          <w:sz w:val="26"/>
          <w:szCs w:val="26"/>
        </w:rPr>
        <w:t>;</w:t>
      </w:r>
      <w:r w:rsidR="00896480" w:rsidRPr="00BA6E7D">
        <w:rPr>
          <w:rFonts w:ascii="Rockwell" w:hAnsi="Rockwell"/>
          <w:sz w:val="26"/>
          <w:szCs w:val="26"/>
        </w:rPr>
        <w:t xml:space="preserve"> </w:t>
      </w:r>
      <w:r w:rsidR="00B70575">
        <w:rPr>
          <w:rFonts w:ascii="Rockwell" w:hAnsi="Rockwell"/>
          <w:sz w:val="26"/>
          <w:szCs w:val="26"/>
        </w:rPr>
        <w:t>« </w:t>
      </w:r>
      <w:r w:rsidR="00C82758" w:rsidRPr="00BA6E7D">
        <w:rPr>
          <w:rFonts w:ascii="Rockwell" w:hAnsi="Rockwell"/>
          <w:sz w:val="26"/>
          <w:szCs w:val="26"/>
        </w:rPr>
        <w:t>A</w:t>
      </w:r>
      <w:r w:rsidR="00896480" w:rsidRPr="00BA6E7D">
        <w:rPr>
          <w:rFonts w:ascii="Rockwell" w:hAnsi="Rockwell"/>
          <w:sz w:val="26"/>
          <w:szCs w:val="26"/>
        </w:rPr>
        <w:t>ssurer à chaque enfant en âge scolaire au moin</w:t>
      </w:r>
      <w:r w:rsidR="00BA6E7D" w:rsidRPr="00BA6E7D">
        <w:rPr>
          <w:rFonts w:ascii="Rockwell" w:hAnsi="Rockwell"/>
          <w:sz w:val="26"/>
          <w:szCs w:val="26"/>
        </w:rPr>
        <w:t>s un repas équilibré par Jour » ;</w:t>
      </w:r>
    </w:p>
    <w:p w14:paraId="2CDEFD2C" w14:textId="1DAA773B" w:rsidR="000C1283" w:rsidRP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réduction </w:t>
      </w:r>
      <w:r w:rsidR="00896480" w:rsidRPr="00BA6E7D">
        <w:rPr>
          <w:rFonts w:ascii="Rockwell" w:hAnsi="Rockwell"/>
          <w:sz w:val="26"/>
          <w:szCs w:val="26"/>
        </w:rPr>
        <w:t>les émissions des gaz à effet</w:t>
      </w:r>
      <w:r w:rsidR="001F44C6">
        <w:rPr>
          <w:rFonts w:ascii="Rockwell" w:hAnsi="Rockwell"/>
          <w:sz w:val="26"/>
          <w:szCs w:val="26"/>
        </w:rPr>
        <w:t>s</w:t>
      </w:r>
      <w:r w:rsidR="00896480" w:rsidRPr="00BA6E7D">
        <w:rPr>
          <w:rFonts w:ascii="Rockwell" w:hAnsi="Rockwell"/>
          <w:sz w:val="26"/>
          <w:szCs w:val="26"/>
        </w:rPr>
        <w:t xml:space="preserve"> de serre de 25 % ;</w:t>
      </w:r>
      <w:r w:rsidR="00337886" w:rsidRPr="00BA6E7D">
        <w:rPr>
          <w:rFonts w:ascii="Rockwell" w:hAnsi="Rockwell"/>
          <w:sz w:val="26"/>
          <w:szCs w:val="26"/>
        </w:rPr>
        <w:t xml:space="preserve"> </w:t>
      </w:r>
    </w:p>
    <w:p w14:paraId="2AF4A811" w14:textId="74B27C99"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896480" w:rsidRPr="007D2F0F">
        <w:rPr>
          <w:rFonts w:ascii="Rockwell" w:hAnsi="Rockwell"/>
          <w:sz w:val="26"/>
          <w:szCs w:val="26"/>
        </w:rPr>
        <w:t xml:space="preserve">des pratiques </w:t>
      </w:r>
      <w:r w:rsidR="000C1283" w:rsidRPr="007D2F0F">
        <w:rPr>
          <w:rFonts w:ascii="Rockwell" w:hAnsi="Rockwell"/>
          <w:sz w:val="26"/>
          <w:szCs w:val="26"/>
        </w:rPr>
        <w:t>agro écologiques</w:t>
      </w:r>
      <w:r w:rsidR="00896480" w:rsidRPr="007D2F0F">
        <w:rPr>
          <w:rFonts w:ascii="Rockwell" w:hAnsi="Rockwell"/>
          <w:sz w:val="26"/>
          <w:szCs w:val="26"/>
        </w:rPr>
        <w:t xml:space="preserve"> sur au moins 30</w:t>
      </w:r>
      <w:r w:rsidR="00BA6E7D">
        <w:rPr>
          <w:rFonts w:ascii="Rockwell" w:hAnsi="Rockwell"/>
          <w:sz w:val="26"/>
          <w:szCs w:val="26"/>
        </w:rPr>
        <w:t xml:space="preserve"> </w:t>
      </w:r>
      <w:r w:rsidR="00896480" w:rsidRPr="007D2F0F">
        <w:rPr>
          <w:rFonts w:ascii="Rockwell" w:hAnsi="Rockwell"/>
          <w:sz w:val="26"/>
          <w:szCs w:val="26"/>
        </w:rPr>
        <w:t xml:space="preserve">% des emblavures à l’horizon </w:t>
      </w:r>
      <w:r w:rsidR="000C1283" w:rsidRPr="007D2F0F">
        <w:rPr>
          <w:rFonts w:ascii="Rockwell" w:hAnsi="Rockwell"/>
          <w:sz w:val="26"/>
          <w:szCs w:val="26"/>
        </w:rPr>
        <w:t xml:space="preserve">2030 </w:t>
      </w:r>
      <w:r w:rsidR="00896480" w:rsidRPr="007D2F0F">
        <w:rPr>
          <w:rFonts w:ascii="Rockwell" w:hAnsi="Rockwell"/>
          <w:sz w:val="26"/>
          <w:szCs w:val="26"/>
        </w:rPr>
        <w:t>;</w:t>
      </w:r>
      <w:r w:rsidR="00337886" w:rsidRPr="007D2F0F">
        <w:rPr>
          <w:rFonts w:ascii="Rockwell" w:hAnsi="Rockwell"/>
          <w:sz w:val="26"/>
          <w:szCs w:val="26"/>
        </w:rPr>
        <w:t xml:space="preserve"> </w:t>
      </w:r>
    </w:p>
    <w:p w14:paraId="6207CE16" w14:textId="66EE49BD"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 xml:space="preserve">ccroissement </w:t>
      </w:r>
      <w:r w:rsidR="001F44C6">
        <w:rPr>
          <w:rFonts w:ascii="Rockwell" w:hAnsi="Rockwell"/>
          <w:sz w:val="26"/>
          <w:szCs w:val="26"/>
        </w:rPr>
        <w:t>des superficies irriguées et l</w:t>
      </w:r>
      <w:r w:rsidR="00896480" w:rsidRPr="007D2F0F">
        <w:rPr>
          <w:rFonts w:ascii="Rockwell" w:hAnsi="Rockwell"/>
          <w:sz w:val="26"/>
          <w:szCs w:val="26"/>
        </w:rPr>
        <w:t>’accès de TOUS à l’</w:t>
      </w:r>
      <w:r w:rsidR="001E29C3" w:rsidRPr="007D2F0F">
        <w:rPr>
          <w:rFonts w:ascii="Rockwell" w:hAnsi="Rockwell"/>
          <w:sz w:val="26"/>
          <w:szCs w:val="26"/>
        </w:rPr>
        <w:t>E</w:t>
      </w:r>
      <w:r w:rsidR="00896480" w:rsidRPr="007D2F0F">
        <w:rPr>
          <w:rFonts w:ascii="Rockwell" w:hAnsi="Rockwell"/>
          <w:sz w:val="26"/>
          <w:szCs w:val="26"/>
        </w:rPr>
        <w:t>au potable</w:t>
      </w:r>
      <w:r w:rsidR="000C1283" w:rsidRPr="007D2F0F">
        <w:rPr>
          <w:rFonts w:ascii="Rockwell" w:hAnsi="Rockwell"/>
          <w:sz w:val="26"/>
          <w:szCs w:val="26"/>
        </w:rPr>
        <w:t xml:space="preserve"> et à l’assainissement</w:t>
      </w:r>
      <w:r w:rsidR="00896480" w:rsidRPr="007D2F0F">
        <w:rPr>
          <w:rFonts w:ascii="Rockwell" w:hAnsi="Rockwell"/>
          <w:sz w:val="26"/>
          <w:szCs w:val="26"/>
        </w:rPr>
        <w:t xml:space="preserve"> ;</w:t>
      </w:r>
      <w:r w:rsidR="00337886" w:rsidRPr="007D2F0F">
        <w:rPr>
          <w:rFonts w:ascii="Rockwell" w:hAnsi="Rockwell"/>
          <w:sz w:val="26"/>
          <w:szCs w:val="26"/>
        </w:rPr>
        <w:t xml:space="preserve"> </w:t>
      </w:r>
    </w:p>
    <w:p w14:paraId="71E3803E" w14:textId="4879FA69"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llocation annuelle de 1</w:t>
      </w:r>
      <w:r w:rsidR="00BA6E7D">
        <w:rPr>
          <w:rFonts w:ascii="Rockwell" w:hAnsi="Rockwell"/>
          <w:sz w:val="26"/>
          <w:szCs w:val="26"/>
        </w:rPr>
        <w:t xml:space="preserve"> </w:t>
      </w:r>
      <w:r w:rsidR="00896480" w:rsidRPr="007D2F0F">
        <w:rPr>
          <w:rFonts w:ascii="Rockwell" w:hAnsi="Rockwell"/>
          <w:sz w:val="26"/>
          <w:szCs w:val="26"/>
        </w:rPr>
        <w:t xml:space="preserve">% du </w:t>
      </w:r>
      <w:r w:rsidR="001E29C3" w:rsidRPr="007D2F0F">
        <w:rPr>
          <w:rFonts w:ascii="Rockwell" w:hAnsi="Rockwell"/>
          <w:sz w:val="26"/>
          <w:szCs w:val="26"/>
        </w:rPr>
        <w:t>B</w:t>
      </w:r>
      <w:r w:rsidR="00896480" w:rsidRPr="007D2F0F">
        <w:rPr>
          <w:rFonts w:ascii="Rockwell" w:hAnsi="Rockwell"/>
          <w:sz w:val="26"/>
          <w:szCs w:val="26"/>
        </w:rPr>
        <w:t xml:space="preserve">udget national à la recherche et </w:t>
      </w:r>
      <w:r w:rsidR="001E29C3" w:rsidRPr="007D2F0F">
        <w:rPr>
          <w:rFonts w:ascii="Rockwell" w:hAnsi="Rockwell"/>
          <w:sz w:val="26"/>
          <w:szCs w:val="26"/>
        </w:rPr>
        <w:t xml:space="preserve">de </w:t>
      </w:r>
      <w:r w:rsidR="00896480" w:rsidRPr="007D2F0F">
        <w:rPr>
          <w:rFonts w:ascii="Rockwell" w:hAnsi="Rockwell"/>
          <w:sz w:val="26"/>
          <w:szCs w:val="26"/>
        </w:rPr>
        <w:t>14</w:t>
      </w:r>
      <w:r w:rsidR="00BA6E7D">
        <w:rPr>
          <w:rFonts w:ascii="Rockwell" w:hAnsi="Rockwell"/>
          <w:sz w:val="26"/>
          <w:szCs w:val="26"/>
        </w:rPr>
        <w:t xml:space="preserve"> </w:t>
      </w:r>
      <w:r w:rsidR="00896480" w:rsidRPr="007D2F0F">
        <w:rPr>
          <w:rFonts w:ascii="Rockwell" w:hAnsi="Rockwell"/>
          <w:sz w:val="26"/>
          <w:szCs w:val="26"/>
        </w:rPr>
        <w:t xml:space="preserve">% exclusivement aux investissements </w:t>
      </w:r>
      <w:r w:rsidR="001E29C3" w:rsidRPr="007D2F0F">
        <w:rPr>
          <w:rFonts w:ascii="Rockwell" w:hAnsi="Rockwell"/>
          <w:sz w:val="26"/>
          <w:szCs w:val="26"/>
        </w:rPr>
        <w:t xml:space="preserve">directs </w:t>
      </w:r>
      <w:r w:rsidR="00896480" w:rsidRPr="007D2F0F">
        <w:rPr>
          <w:rFonts w:ascii="Rockwell" w:hAnsi="Rockwell"/>
          <w:sz w:val="26"/>
          <w:szCs w:val="26"/>
        </w:rPr>
        <w:t xml:space="preserve">dans le secteur </w:t>
      </w:r>
      <w:r w:rsidR="000C1283" w:rsidRPr="007D2F0F">
        <w:rPr>
          <w:rFonts w:ascii="Rockwell" w:hAnsi="Rockwell"/>
          <w:sz w:val="26"/>
          <w:szCs w:val="26"/>
        </w:rPr>
        <w:t xml:space="preserve">ASPHF </w:t>
      </w:r>
      <w:r w:rsidR="00896480" w:rsidRPr="007D2F0F">
        <w:rPr>
          <w:rFonts w:ascii="Rockwell" w:hAnsi="Rockwell"/>
          <w:sz w:val="26"/>
          <w:szCs w:val="26"/>
        </w:rPr>
        <w:t>;</w:t>
      </w:r>
      <w:r w:rsidR="00E174C6" w:rsidRPr="007D2F0F">
        <w:rPr>
          <w:rFonts w:ascii="Rockwell" w:hAnsi="Rockwell"/>
          <w:sz w:val="26"/>
          <w:szCs w:val="26"/>
        </w:rPr>
        <w:t xml:space="preserve"> </w:t>
      </w:r>
    </w:p>
    <w:p w14:paraId="76FBE5B9" w14:textId="3DE54132"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u</w:t>
      </w:r>
      <w:r w:rsidR="00896480" w:rsidRPr="007D2F0F">
        <w:rPr>
          <w:rFonts w:ascii="Rockwell" w:hAnsi="Rockwell"/>
          <w:sz w:val="26"/>
          <w:szCs w:val="26"/>
        </w:rPr>
        <w:t>tilisation des biotechnologies modernes dans la production et valorisation des produits alimentaires locaux ;</w:t>
      </w:r>
      <w:r w:rsidR="00337886" w:rsidRPr="007D2F0F">
        <w:rPr>
          <w:rFonts w:ascii="Rockwell" w:hAnsi="Rockwell"/>
          <w:sz w:val="26"/>
          <w:szCs w:val="26"/>
        </w:rPr>
        <w:t xml:space="preserve"> </w:t>
      </w:r>
    </w:p>
    <w:p w14:paraId="2CFB46A9" w14:textId="05F538E8"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A6655E" w:rsidRPr="007D2F0F">
        <w:rPr>
          <w:rFonts w:ascii="Rockwell" w:hAnsi="Rockwell"/>
          <w:sz w:val="26"/>
          <w:szCs w:val="26"/>
        </w:rPr>
        <w:t>des moyens de prévention et</w:t>
      </w:r>
      <w:r w:rsidR="001E29C3" w:rsidRPr="007D2F0F">
        <w:rPr>
          <w:rFonts w:ascii="Rockwell" w:hAnsi="Rockwell"/>
          <w:sz w:val="26"/>
          <w:szCs w:val="26"/>
        </w:rPr>
        <w:t xml:space="preserve"> de</w:t>
      </w:r>
      <w:r w:rsidR="00A6655E" w:rsidRPr="007D2F0F">
        <w:rPr>
          <w:rFonts w:ascii="Rockwell" w:hAnsi="Rockwell"/>
          <w:sz w:val="26"/>
          <w:szCs w:val="26"/>
        </w:rPr>
        <w:t xml:space="preserve"> l’aide humanitaire d’urgence aux personnes affectées par les conflits et les crises alimentaires ;</w:t>
      </w:r>
      <w:r w:rsidR="00337886" w:rsidRPr="007D2F0F">
        <w:rPr>
          <w:rFonts w:ascii="Rockwell" w:hAnsi="Rockwell"/>
          <w:sz w:val="26"/>
          <w:szCs w:val="26"/>
        </w:rPr>
        <w:t xml:space="preserve"> </w:t>
      </w:r>
    </w:p>
    <w:p w14:paraId="505378E5" w14:textId="59C157CD"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 xml:space="preserve">ppui aux maillons de la transformation, du transport, du stockage et de la </w:t>
      </w:r>
      <w:r w:rsidR="00E174C6" w:rsidRPr="007D2F0F">
        <w:rPr>
          <w:rFonts w:ascii="Rockwell" w:hAnsi="Rockwell"/>
          <w:sz w:val="26"/>
          <w:szCs w:val="26"/>
        </w:rPr>
        <w:t>commercialisation ;</w:t>
      </w:r>
      <w:r w:rsidR="001E29C3" w:rsidRPr="007D2F0F">
        <w:rPr>
          <w:rFonts w:ascii="Rockwell" w:hAnsi="Rockwell"/>
          <w:sz w:val="26"/>
          <w:szCs w:val="26"/>
        </w:rPr>
        <w:t xml:space="preserve"> </w:t>
      </w:r>
      <w:r w:rsidR="00896480" w:rsidRPr="007D2F0F">
        <w:rPr>
          <w:rFonts w:ascii="Rockwell" w:hAnsi="Rockwell"/>
          <w:sz w:val="26"/>
          <w:szCs w:val="26"/>
        </w:rPr>
        <w:t>assurer le contrôle de la qualité sanitaire des aliments</w:t>
      </w:r>
      <w:r w:rsidR="00337886" w:rsidRPr="007D2F0F">
        <w:rPr>
          <w:rFonts w:ascii="Rockwell" w:hAnsi="Rockwell"/>
          <w:sz w:val="26"/>
          <w:szCs w:val="26"/>
        </w:rPr>
        <w:t xml:space="preserve"> ; </w:t>
      </w:r>
    </w:p>
    <w:p w14:paraId="639E3555" w14:textId="247F7A68"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6271B8" w:rsidRPr="007D2F0F">
        <w:rPr>
          <w:rFonts w:ascii="Rockwell" w:hAnsi="Rockwell"/>
          <w:sz w:val="26"/>
          <w:szCs w:val="26"/>
        </w:rPr>
        <w:t>mélioration de la sécurisation foncière rurale (agricole, pastorale, forestière, halieutique et faunique)</w:t>
      </w:r>
      <w:r w:rsidR="003967C1" w:rsidRPr="007D2F0F">
        <w:rPr>
          <w:rFonts w:ascii="Rockwell" w:hAnsi="Rockwell"/>
          <w:sz w:val="26"/>
          <w:szCs w:val="26"/>
        </w:rPr>
        <w:t> ;</w:t>
      </w:r>
      <w:r w:rsidR="00337886" w:rsidRPr="007D2F0F">
        <w:rPr>
          <w:rFonts w:ascii="Rockwell" w:hAnsi="Rockwell"/>
          <w:sz w:val="26"/>
          <w:szCs w:val="26"/>
        </w:rPr>
        <w:t xml:space="preserve"> </w:t>
      </w:r>
    </w:p>
    <w:p w14:paraId="47F09122" w14:textId="04CAF89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6271B8" w:rsidRPr="007D2F0F">
        <w:rPr>
          <w:rFonts w:ascii="Rockwell" w:hAnsi="Rockwell"/>
          <w:sz w:val="26"/>
          <w:szCs w:val="26"/>
        </w:rPr>
        <w:t>de l’agroforesterie et la mise en place de jardins nutritifs pour une diversification climato-intelligente</w:t>
      </w:r>
      <w:r w:rsidR="003967C1" w:rsidRPr="007D2F0F">
        <w:rPr>
          <w:rFonts w:ascii="Rockwell" w:hAnsi="Rockwell"/>
          <w:sz w:val="26"/>
          <w:szCs w:val="26"/>
        </w:rPr>
        <w:t> ;</w:t>
      </w:r>
      <w:r w:rsidR="00E174C6" w:rsidRPr="007D2F0F">
        <w:rPr>
          <w:rFonts w:ascii="Rockwell" w:hAnsi="Rockwell"/>
          <w:sz w:val="26"/>
          <w:szCs w:val="26"/>
        </w:rPr>
        <w:t xml:space="preserve"> </w:t>
      </w:r>
    </w:p>
    <w:p w14:paraId="16D19512" w14:textId="5E8FCF0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des structures d’analyse </w:t>
      </w:r>
      <w:r w:rsidR="001F44C6">
        <w:rPr>
          <w:rFonts w:ascii="Rockwell" w:hAnsi="Rockwell"/>
          <w:sz w:val="26"/>
          <w:szCs w:val="26"/>
        </w:rPr>
        <w:t xml:space="preserve">de </w:t>
      </w:r>
      <w:r w:rsidR="006271B8" w:rsidRPr="007D2F0F">
        <w:rPr>
          <w:rFonts w:ascii="Rockwell" w:hAnsi="Rockwell"/>
          <w:sz w:val="26"/>
          <w:szCs w:val="26"/>
        </w:rPr>
        <w:t>qualité gérée</w:t>
      </w:r>
      <w:r w:rsidR="003967C1" w:rsidRPr="007D2F0F">
        <w:rPr>
          <w:rFonts w:ascii="Rockwell" w:hAnsi="Rockwell"/>
          <w:sz w:val="26"/>
          <w:szCs w:val="26"/>
        </w:rPr>
        <w:t xml:space="preserve">s par les professionnels </w:t>
      </w:r>
      <w:r w:rsidR="001C1FD8" w:rsidRPr="007D2F0F">
        <w:rPr>
          <w:rFonts w:ascii="Rockwell" w:hAnsi="Rockwell"/>
          <w:sz w:val="26"/>
          <w:szCs w:val="26"/>
        </w:rPr>
        <w:t>privés ;</w:t>
      </w:r>
      <w:r w:rsidR="00337886" w:rsidRPr="007D2F0F">
        <w:rPr>
          <w:rFonts w:ascii="Rockwell" w:hAnsi="Rockwell"/>
          <w:sz w:val="26"/>
          <w:szCs w:val="26"/>
        </w:rPr>
        <w:t xml:space="preserve"> </w:t>
      </w:r>
    </w:p>
    <w:p w14:paraId="5586F063" w14:textId="18CD0ED3"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0C1283" w:rsidRPr="007D2F0F">
        <w:rPr>
          <w:rFonts w:ascii="Rockwell" w:hAnsi="Rockwell"/>
          <w:sz w:val="26"/>
          <w:szCs w:val="26"/>
        </w:rPr>
        <w:t>des Bonnes Pratiques de</w:t>
      </w:r>
      <w:r w:rsidR="007D2F0F">
        <w:rPr>
          <w:rFonts w:ascii="Rockwell" w:hAnsi="Rockwell"/>
          <w:sz w:val="26"/>
          <w:szCs w:val="26"/>
        </w:rPr>
        <w:t xml:space="preserve"> productions locales ; </w:t>
      </w:r>
    </w:p>
    <w:p w14:paraId="4EBF2B06" w14:textId="2B02FFD2" w:rsid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6271B8" w:rsidRPr="007D2F0F">
        <w:rPr>
          <w:rFonts w:ascii="Rockwell" w:hAnsi="Rockwell"/>
          <w:sz w:val="26"/>
          <w:szCs w:val="26"/>
        </w:rPr>
        <w:t xml:space="preserve">des Bonnes Pratiques </w:t>
      </w:r>
      <w:r w:rsidR="000C1283" w:rsidRPr="007D2F0F">
        <w:rPr>
          <w:rFonts w:ascii="Rockwell" w:hAnsi="Rockwell"/>
          <w:sz w:val="26"/>
          <w:szCs w:val="26"/>
        </w:rPr>
        <w:t xml:space="preserve">d’hygiène et </w:t>
      </w:r>
      <w:r w:rsidR="006271B8" w:rsidRPr="007D2F0F">
        <w:rPr>
          <w:rFonts w:ascii="Rockwell" w:hAnsi="Rockwell"/>
          <w:sz w:val="26"/>
          <w:szCs w:val="26"/>
        </w:rPr>
        <w:t>de transformation des productions locales</w:t>
      </w:r>
      <w:r w:rsidR="003967C1" w:rsidRPr="007D2F0F">
        <w:rPr>
          <w:rFonts w:ascii="Rockwell" w:hAnsi="Rockwell"/>
          <w:sz w:val="26"/>
          <w:szCs w:val="26"/>
        </w:rPr>
        <w:t> ;</w:t>
      </w:r>
      <w:r w:rsidR="00337886" w:rsidRPr="007D2F0F">
        <w:rPr>
          <w:rFonts w:ascii="Rockwell" w:hAnsi="Rockwell"/>
          <w:sz w:val="26"/>
          <w:szCs w:val="26"/>
        </w:rPr>
        <w:t xml:space="preserve"> </w:t>
      </w:r>
    </w:p>
    <w:p w14:paraId="52F5923B" w14:textId="5E95CBB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0C1283" w:rsidRPr="007D2F0F">
        <w:rPr>
          <w:rFonts w:ascii="Rockwell" w:hAnsi="Rockwell"/>
          <w:sz w:val="26"/>
          <w:szCs w:val="26"/>
        </w:rPr>
        <w:t xml:space="preserve">de </w:t>
      </w:r>
      <w:r w:rsidR="006271B8" w:rsidRPr="007D2F0F">
        <w:rPr>
          <w:rFonts w:ascii="Rockwell" w:hAnsi="Rockwell"/>
          <w:sz w:val="26"/>
          <w:szCs w:val="26"/>
        </w:rPr>
        <w:t>la consommation des produits locaux ;</w:t>
      </w:r>
      <w:r w:rsidR="00337886" w:rsidRPr="007D2F0F">
        <w:rPr>
          <w:rFonts w:ascii="Rockwell" w:hAnsi="Rockwell"/>
          <w:sz w:val="26"/>
          <w:szCs w:val="26"/>
        </w:rPr>
        <w:t xml:space="preserve"> </w:t>
      </w:r>
    </w:p>
    <w:p w14:paraId="0262140F" w14:textId="11BCEAE2"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du cadre règlementaire et législatif en faveur </w:t>
      </w:r>
      <w:r w:rsidR="00954B2F">
        <w:rPr>
          <w:rFonts w:ascii="Rockwell" w:hAnsi="Rockwell"/>
          <w:sz w:val="26"/>
          <w:szCs w:val="26"/>
        </w:rPr>
        <w:t xml:space="preserve">de </w:t>
      </w:r>
      <w:r w:rsidR="006271B8" w:rsidRPr="007D2F0F">
        <w:rPr>
          <w:rFonts w:ascii="Rockwell" w:hAnsi="Rockwell"/>
          <w:sz w:val="26"/>
          <w:szCs w:val="26"/>
        </w:rPr>
        <w:t>la sécurité sanitaire des aliments ;</w:t>
      </w:r>
    </w:p>
    <w:p w14:paraId="7F02D9BE" w14:textId="74A458BC"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lastRenderedPageBreak/>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de la lutte contre les maladies à caractère endémique (Covid-19, choléra, </w:t>
      </w:r>
      <w:r w:rsidR="00970A24" w:rsidRPr="007D2F0F">
        <w:rPr>
          <w:rFonts w:ascii="Rockwell" w:hAnsi="Rockwell"/>
          <w:sz w:val="26"/>
          <w:szCs w:val="26"/>
        </w:rPr>
        <w:t>Ebola</w:t>
      </w:r>
      <w:r w:rsidR="006271B8" w:rsidRPr="007D2F0F">
        <w:rPr>
          <w:rFonts w:ascii="Rockwell" w:hAnsi="Rockwell"/>
          <w:sz w:val="26"/>
          <w:szCs w:val="26"/>
        </w:rPr>
        <w:t>, etc.)</w:t>
      </w:r>
      <w:r w:rsidR="003967C1" w:rsidRPr="007D2F0F">
        <w:rPr>
          <w:rFonts w:ascii="Rockwell" w:hAnsi="Rockwell"/>
          <w:sz w:val="26"/>
          <w:szCs w:val="26"/>
        </w:rPr>
        <w:t> ;</w:t>
      </w:r>
      <w:r w:rsidR="00E174C6" w:rsidRPr="007D2F0F">
        <w:rPr>
          <w:rFonts w:ascii="Rockwell" w:hAnsi="Rockwell"/>
          <w:sz w:val="26"/>
          <w:szCs w:val="26"/>
        </w:rPr>
        <w:t xml:space="preserve"> </w:t>
      </w:r>
    </w:p>
    <w:p w14:paraId="020EB748" w14:textId="7EF0476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actions en faveur de la nutrition maternelle et infantile avec passage à l’échelle du plan Alimentation du Nourrisson et du Jeune Enfant (ANJE</w:t>
      </w:r>
      <w:r w:rsidR="001C1FD8" w:rsidRPr="007D2F0F">
        <w:rPr>
          <w:rFonts w:ascii="Rockwell" w:hAnsi="Rockwell"/>
          <w:sz w:val="26"/>
          <w:szCs w:val="26"/>
        </w:rPr>
        <w:t>) ;</w:t>
      </w:r>
    </w:p>
    <w:p w14:paraId="1C6F9B44" w14:textId="178BA9AF" w:rsid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0C1283" w:rsidRPr="007D2F0F">
        <w:rPr>
          <w:rFonts w:ascii="Rockwell" w:hAnsi="Rockwell"/>
          <w:sz w:val="26"/>
          <w:szCs w:val="26"/>
        </w:rPr>
        <w:t xml:space="preserve">llocation </w:t>
      </w:r>
      <w:r w:rsidR="006271B8" w:rsidRPr="007D2F0F">
        <w:rPr>
          <w:rFonts w:ascii="Rockwell" w:hAnsi="Rockwell"/>
          <w:sz w:val="26"/>
          <w:szCs w:val="26"/>
        </w:rPr>
        <w:t>de 3</w:t>
      </w:r>
      <w:r w:rsidR="00BA6E7D">
        <w:rPr>
          <w:rFonts w:ascii="Rockwell" w:hAnsi="Rockwell"/>
          <w:sz w:val="26"/>
          <w:szCs w:val="26"/>
        </w:rPr>
        <w:t xml:space="preserve"> </w:t>
      </w:r>
      <w:r w:rsidR="006271B8" w:rsidRPr="007D2F0F">
        <w:rPr>
          <w:rFonts w:ascii="Rockwell" w:hAnsi="Rockwell"/>
          <w:sz w:val="26"/>
          <w:szCs w:val="26"/>
        </w:rPr>
        <w:t xml:space="preserve">% du financement domestique en faveur </w:t>
      </w:r>
      <w:r w:rsidR="00954B2F">
        <w:rPr>
          <w:rFonts w:ascii="Rockwell" w:hAnsi="Rockwell"/>
          <w:sz w:val="26"/>
          <w:szCs w:val="26"/>
        </w:rPr>
        <w:t xml:space="preserve">de </w:t>
      </w:r>
      <w:r w:rsidR="006271B8" w:rsidRPr="007D2F0F">
        <w:rPr>
          <w:rFonts w:ascii="Rockwell" w:hAnsi="Rockwell"/>
          <w:sz w:val="26"/>
          <w:szCs w:val="26"/>
        </w:rPr>
        <w:t xml:space="preserve">la </w:t>
      </w:r>
      <w:r w:rsidR="001E29C3" w:rsidRPr="007D2F0F">
        <w:rPr>
          <w:rFonts w:ascii="Rockwell" w:hAnsi="Rockwell"/>
          <w:sz w:val="26"/>
          <w:szCs w:val="26"/>
        </w:rPr>
        <w:t>N</w:t>
      </w:r>
      <w:r w:rsidR="006271B8" w:rsidRPr="007D2F0F">
        <w:rPr>
          <w:rFonts w:ascii="Rockwell" w:hAnsi="Rockwell"/>
          <w:sz w:val="26"/>
          <w:szCs w:val="26"/>
        </w:rPr>
        <w:t>utrition</w:t>
      </w:r>
      <w:r w:rsidR="003967C1" w:rsidRPr="007D2F0F">
        <w:rPr>
          <w:rFonts w:ascii="Rockwell" w:hAnsi="Rockwell"/>
          <w:sz w:val="26"/>
          <w:szCs w:val="26"/>
        </w:rPr>
        <w:t> </w:t>
      </w:r>
      <w:r w:rsidR="006271B8" w:rsidRPr="007D2F0F">
        <w:rPr>
          <w:rFonts w:ascii="Rockwell" w:hAnsi="Rockwell"/>
          <w:sz w:val="26"/>
          <w:szCs w:val="26"/>
        </w:rPr>
        <w:t>;</w:t>
      </w:r>
      <w:r w:rsidR="00337886" w:rsidRPr="007D2F0F">
        <w:rPr>
          <w:rFonts w:ascii="Rockwell" w:hAnsi="Rockwell"/>
          <w:sz w:val="26"/>
          <w:szCs w:val="26"/>
        </w:rPr>
        <w:t xml:space="preserve"> </w:t>
      </w:r>
    </w:p>
    <w:p w14:paraId="0D784C2B" w14:textId="70EFB5D2"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réhabilitation</w:t>
      </w:r>
      <w:r w:rsidR="006271B8" w:rsidRPr="007D2F0F">
        <w:rPr>
          <w:rFonts w:ascii="Rockwell" w:hAnsi="Rockwell"/>
          <w:sz w:val="26"/>
          <w:szCs w:val="26"/>
        </w:rPr>
        <w:t xml:space="preserve">/renforcement du réseau routier provincial et départemental dans les zones </w:t>
      </w:r>
      <w:r w:rsidR="00954B2F">
        <w:rPr>
          <w:rFonts w:ascii="Rockwell" w:hAnsi="Rockwell"/>
          <w:sz w:val="26"/>
          <w:szCs w:val="26"/>
        </w:rPr>
        <w:t>à</w:t>
      </w:r>
      <w:r w:rsidR="006271B8" w:rsidRPr="007D2F0F">
        <w:rPr>
          <w:rFonts w:ascii="Rockwell" w:hAnsi="Rockwell"/>
          <w:sz w:val="26"/>
          <w:szCs w:val="26"/>
        </w:rPr>
        <w:t xml:space="preserve"> forte production y compris les Plaines de production</w:t>
      </w:r>
      <w:r w:rsidR="003967C1" w:rsidRPr="007D2F0F">
        <w:rPr>
          <w:rFonts w:ascii="Rockwell" w:hAnsi="Rockwell"/>
          <w:sz w:val="26"/>
          <w:szCs w:val="26"/>
        </w:rPr>
        <w:t> ;</w:t>
      </w:r>
      <w:r w:rsidR="00DA4234" w:rsidRPr="007D2F0F">
        <w:rPr>
          <w:rFonts w:ascii="Rockwell" w:hAnsi="Rockwell"/>
          <w:sz w:val="26"/>
          <w:szCs w:val="26"/>
        </w:rPr>
        <w:t xml:space="preserve"> </w:t>
      </w:r>
    </w:p>
    <w:p w14:paraId="56ACA7C2" w14:textId="2031DA79"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développement </w:t>
      </w:r>
      <w:r w:rsidR="006271B8" w:rsidRPr="007D2F0F">
        <w:rPr>
          <w:rFonts w:ascii="Rockwell" w:hAnsi="Rockwell"/>
          <w:sz w:val="26"/>
          <w:szCs w:val="26"/>
        </w:rPr>
        <w:t>du partenariat (alliance productive, agriculture contractuelle, etc.) entre les acteurs des systèmes alimentaires</w:t>
      </w:r>
      <w:r w:rsidR="003967C1" w:rsidRPr="007D2F0F">
        <w:rPr>
          <w:rFonts w:ascii="Rockwell" w:hAnsi="Rockwell"/>
          <w:sz w:val="26"/>
          <w:szCs w:val="26"/>
        </w:rPr>
        <w:t> ;</w:t>
      </w:r>
      <w:r w:rsidR="00337886" w:rsidRPr="007D2F0F">
        <w:rPr>
          <w:rFonts w:ascii="Rockwell" w:hAnsi="Rockwell"/>
          <w:sz w:val="26"/>
          <w:szCs w:val="26"/>
        </w:rPr>
        <w:t xml:space="preserve"> </w:t>
      </w:r>
    </w:p>
    <w:p w14:paraId="4F3211D8" w14:textId="3DB66F3B"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capacités techniques et opérationnelles des acteurs des systèmes alimentaires ;</w:t>
      </w:r>
      <w:r w:rsidR="003967C1" w:rsidRPr="007D2F0F">
        <w:rPr>
          <w:rFonts w:ascii="Rockwell" w:hAnsi="Rockwell"/>
          <w:sz w:val="26"/>
          <w:szCs w:val="26"/>
        </w:rPr>
        <w:t xml:space="preserve"> </w:t>
      </w:r>
    </w:p>
    <w:p w14:paraId="1026F1FC" w14:textId="73EBAD65"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professionnalisation </w:t>
      </w:r>
      <w:r w:rsidR="006271B8" w:rsidRPr="007D2F0F">
        <w:rPr>
          <w:rFonts w:ascii="Rockwell" w:hAnsi="Rockwell"/>
          <w:sz w:val="26"/>
          <w:szCs w:val="26"/>
        </w:rPr>
        <w:t>des acteurs directs et indirects des filières ASPHF</w:t>
      </w:r>
      <w:r w:rsidR="003967C1" w:rsidRPr="007D2F0F">
        <w:rPr>
          <w:rFonts w:ascii="Rockwell" w:hAnsi="Rockwell"/>
          <w:sz w:val="26"/>
          <w:szCs w:val="26"/>
        </w:rPr>
        <w:t> ;</w:t>
      </w:r>
    </w:p>
    <w:p w14:paraId="01C084EA" w14:textId="41FBF67B"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du relèvement durable des populations affectées par les conflits et les crises</w:t>
      </w:r>
      <w:r w:rsidR="00BA6E7D">
        <w:rPr>
          <w:rFonts w:ascii="Rockwell" w:hAnsi="Rockwell"/>
          <w:sz w:val="26"/>
          <w:szCs w:val="26"/>
        </w:rPr>
        <w:t xml:space="preserve"> </w:t>
      </w:r>
      <w:r w:rsidR="003967C1" w:rsidRPr="007D2F0F">
        <w:rPr>
          <w:rFonts w:ascii="Rockwell" w:hAnsi="Rockwell"/>
          <w:sz w:val="26"/>
          <w:szCs w:val="26"/>
        </w:rPr>
        <w:t>;</w:t>
      </w:r>
      <w:r w:rsidR="000637E7" w:rsidRPr="007D2F0F">
        <w:rPr>
          <w:rFonts w:ascii="Rockwell" w:hAnsi="Rockwell"/>
          <w:sz w:val="26"/>
          <w:szCs w:val="26"/>
        </w:rPr>
        <w:t xml:space="preserve"> </w:t>
      </w:r>
    </w:p>
    <w:p w14:paraId="7901AA9C" w14:textId="037E6236"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E55080" w:rsidRPr="007D2F0F">
        <w:rPr>
          <w:rFonts w:ascii="Rockwell" w:hAnsi="Rockwell"/>
          <w:sz w:val="26"/>
          <w:szCs w:val="26"/>
        </w:rPr>
        <w:t>des moyens de prévention et l’aide humanitaire d’urgence aux personnes affectées par les conflits et les crises</w:t>
      </w:r>
      <w:r w:rsidR="00BA6E7D">
        <w:rPr>
          <w:rFonts w:ascii="Rockwell" w:hAnsi="Rockwell"/>
          <w:sz w:val="26"/>
          <w:szCs w:val="26"/>
        </w:rPr>
        <w:t xml:space="preserve"> </w:t>
      </w:r>
      <w:r w:rsidR="00E55080" w:rsidRPr="007D2F0F">
        <w:rPr>
          <w:rFonts w:ascii="Rockwell" w:hAnsi="Rockwell"/>
          <w:sz w:val="26"/>
          <w:szCs w:val="26"/>
        </w:rPr>
        <w:t>;</w:t>
      </w:r>
    </w:p>
    <w:p w14:paraId="504C62C1" w14:textId="2C0E2519"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systèmes d’information et d’alerte précoce</w:t>
      </w:r>
      <w:r w:rsidR="003967C1" w:rsidRPr="007D2F0F">
        <w:rPr>
          <w:rFonts w:ascii="Rockwell" w:hAnsi="Rockwell"/>
          <w:sz w:val="26"/>
          <w:szCs w:val="26"/>
        </w:rPr>
        <w:t> ;</w:t>
      </w:r>
    </w:p>
    <w:p w14:paraId="0E6F28F9" w14:textId="0B62ACB5"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développement </w:t>
      </w:r>
      <w:r w:rsidR="006271B8" w:rsidRPr="007D2F0F">
        <w:rPr>
          <w:rFonts w:ascii="Rockwell" w:hAnsi="Rockwell"/>
          <w:sz w:val="26"/>
          <w:szCs w:val="26"/>
        </w:rPr>
        <w:t>des systèmes d’assurance dans les secteurs des systèmes alimentaires</w:t>
      </w:r>
      <w:r w:rsidR="00595E27" w:rsidRPr="007D2F0F">
        <w:rPr>
          <w:rFonts w:ascii="Rockwell" w:hAnsi="Rockwell"/>
          <w:sz w:val="26"/>
          <w:szCs w:val="26"/>
        </w:rPr>
        <w:t> ;</w:t>
      </w:r>
    </w:p>
    <w:p w14:paraId="646B5199" w14:textId="7F00CDF2"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001C1FD8" w:rsidRPr="007D2F0F">
        <w:rPr>
          <w:rFonts w:ascii="Rockwell" w:hAnsi="Rockwell"/>
          <w:sz w:val="26"/>
          <w:szCs w:val="26"/>
        </w:rPr>
        <w:t>Promotion</w:t>
      </w:r>
      <w:r w:rsidR="006271B8" w:rsidRPr="007D2F0F">
        <w:rPr>
          <w:rFonts w:ascii="Rockwell" w:hAnsi="Rockwell"/>
          <w:sz w:val="26"/>
          <w:szCs w:val="26"/>
        </w:rPr>
        <w:t xml:space="preserve"> de </w:t>
      </w:r>
      <w:r w:rsidR="00BA6E7D">
        <w:rPr>
          <w:rFonts w:ascii="Rockwell" w:hAnsi="Rockwell"/>
          <w:sz w:val="26"/>
          <w:szCs w:val="26"/>
        </w:rPr>
        <w:t>l’agriculture biologique ;</w:t>
      </w:r>
    </w:p>
    <w:p w14:paraId="229E27C3" w14:textId="60660233"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digitalisation </w:t>
      </w:r>
      <w:r w:rsidR="00595E27" w:rsidRPr="007D2F0F">
        <w:rPr>
          <w:rFonts w:ascii="Rockwell" w:hAnsi="Rockwell"/>
          <w:sz w:val="26"/>
          <w:szCs w:val="26"/>
        </w:rPr>
        <w:t xml:space="preserve">des </w:t>
      </w:r>
      <w:proofErr w:type="spellStart"/>
      <w:r w:rsidR="00595E27" w:rsidRPr="007D2F0F">
        <w:rPr>
          <w:rFonts w:ascii="Rockwell" w:hAnsi="Rockwell"/>
          <w:sz w:val="26"/>
          <w:szCs w:val="26"/>
        </w:rPr>
        <w:t>process</w:t>
      </w:r>
      <w:proofErr w:type="spellEnd"/>
      <w:r w:rsidR="00595E27" w:rsidRPr="007D2F0F">
        <w:rPr>
          <w:rFonts w:ascii="Rockwell" w:hAnsi="Rockwell"/>
          <w:sz w:val="26"/>
          <w:szCs w:val="26"/>
        </w:rPr>
        <w:t xml:space="preserve"> des systèmes de sécurité alimentaire et nutritionnelle.</w:t>
      </w:r>
    </w:p>
    <w:p w14:paraId="63DEF087" w14:textId="03D1D165" w:rsidR="005F5FFD"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45" w:name="_Toc80650215"/>
      <w:bookmarkStart w:id="46" w:name="_Toc80650438"/>
      <w:bookmarkStart w:id="47" w:name="_Toc80650466"/>
      <w:bookmarkStart w:id="48" w:name="_Toc80701350"/>
      <w:bookmarkStart w:id="49" w:name="_Toc80701638"/>
      <w:bookmarkStart w:id="50" w:name="_Toc82164355"/>
      <w:r w:rsidRPr="007D2F0F">
        <w:rPr>
          <w:rFonts w:ascii="Rockwell" w:hAnsi="Rockwell" w:cs="Times New Roman"/>
          <w:b/>
          <w:color w:val="auto"/>
          <w:sz w:val="26"/>
          <w:szCs w:val="26"/>
        </w:rPr>
        <w:t>ACTIONS STRATEGIQUES ET OPERATIONNELLES A REALISER DANS LE MOYEN ET LONG TERME</w:t>
      </w:r>
      <w:bookmarkEnd w:id="45"/>
      <w:bookmarkEnd w:id="46"/>
      <w:bookmarkEnd w:id="47"/>
      <w:bookmarkEnd w:id="48"/>
      <w:bookmarkEnd w:id="49"/>
      <w:bookmarkEnd w:id="50"/>
      <w:r w:rsidRPr="007D2F0F">
        <w:rPr>
          <w:rFonts w:ascii="Rockwell" w:hAnsi="Rockwell" w:cs="Times New Roman"/>
          <w:b/>
          <w:color w:val="auto"/>
          <w:sz w:val="26"/>
          <w:szCs w:val="26"/>
        </w:rPr>
        <w:t xml:space="preserve"> </w:t>
      </w:r>
    </w:p>
    <w:p w14:paraId="3202E116" w14:textId="77777777" w:rsidR="00BA6E7D" w:rsidRDefault="000637E7" w:rsidP="007D2F0F">
      <w:pPr>
        <w:spacing w:after="240" w:line="276" w:lineRule="auto"/>
        <w:jc w:val="both"/>
        <w:rPr>
          <w:rFonts w:ascii="Rockwell" w:hAnsi="Rockwell"/>
          <w:sz w:val="26"/>
          <w:szCs w:val="26"/>
        </w:rPr>
      </w:pPr>
      <w:r w:rsidRPr="007D2F0F">
        <w:rPr>
          <w:rFonts w:ascii="Rockwell" w:hAnsi="Rockwell"/>
          <w:sz w:val="26"/>
          <w:szCs w:val="26"/>
        </w:rPr>
        <w:t xml:space="preserve">Les actions fortes </w:t>
      </w:r>
      <w:r w:rsidR="00595E27" w:rsidRPr="007D2F0F">
        <w:rPr>
          <w:rFonts w:ascii="Rockwell" w:hAnsi="Rockwell"/>
          <w:sz w:val="26"/>
          <w:szCs w:val="26"/>
        </w:rPr>
        <w:t xml:space="preserve">à </w:t>
      </w:r>
      <w:r w:rsidRPr="007D2F0F">
        <w:rPr>
          <w:rFonts w:ascii="Rockwell" w:hAnsi="Rockwell"/>
          <w:sz w:val="26"/>
          <w:szCs w:val="26"/>
        </w:rPr>
        <w:t xml:space="preserve">mettre en œuvre pour le moyen et long terme sont : </w:t>
      </w:r>
    </w:p>
    <w:p w14:paraId="19A58E85" w14:textId="3F72E3E5" w:rsidR="00BA6E7D" w:rsidRP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l’</w:t>
      </w:r>
      <w:r w:rsidRPr="00BA6E7D">
        <w:rPr>
          <w:rFonts w:ascii="Rockwell" w:hAnsi="Rockwell"/>
          <w:sz w:val="26"/>
          <w:szCs w:val="26"/>
        </w:rPr>
        <w:t>a</w:t>
      </w:r>
      <w:r w:rsidR="008D3596" w:rsidRPr="00BA6E7D">
        <w:rPr>
          <w:rFonts w:ascii="Rockwell" w:hAnsi="Rockwell"/>
          <w:sz w:val="26"/>
          <w:szCs w:val="26"/>
        </w:rPr>
        <w:t xml:space="preserve">mélioration de la productivité et de la diversification du secteur </w:t>
      </w:r>
      <w:r w:rsidR="003967C1" w:rsidRPr="00BA6E7D">
        <w:rPr>
          <w:rFonts w:ascii="Rockwell" w:hAnsi="Rockwell"/>
          <w:sz w:val="26"/>
          <w:szCs w:val="26"/>
        </w:rPr>
        <w:t>ASPHF ;</w:t>
      </w:r>
      <w:r w:rsidR="000637E7" w:rsidRPr="00BA6E7D">
        <w:rPr>
          <w:rFonts w:ascii="Rockwell" w:hAnsi="Rockwell"/>
          <w:sz w:val="26"/>
          <w:szCs w:val="26"/>
        </w:rPr>
        <w:t xml:space="preserve"> </w:t>
      </w:r>
    </w:p>
    <w:p w14:paraId="4AEB48F0" w14:textId="7A847BC9"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mobilisation</w:t>
      </w:r>
      <w:r w:rsidR="008D3596" w:rsidRPr="00BA6E7D">
        <w:rPr>
          <w:rFonts w:ascii="Rockwell" w:hAnsi="Rockwell"/>
          <w:sz w:val="26"/>
          <w:szCs w:val="26"/>
        </w:rPr>
        <w:t xml:space="preserve">, </w:t>
      </w:r>
      <w:r>
        <w:rPr>
          <w:rFonts w:ascii="Rockwell" w:hAnsi="Rockwell"/>
          <w:sz w:val="26"/>
          <w:szCs w:val="26"/>
        </w:rPr>
        <w:t xml:space="preserve">la </w:t>
      </w:r>
      <w:r w:rsidR="008D3596" w:rsidRPr="00BA6E7D">
        <w:rPr>
          <w:rFonts w:ascii="Rockwell" w:hAnsi="Rockwell"/>
          <w:sz w:val="26"/>
          <w:szCs w:val="26"/>
        </w:rPr>
        <w:t xml:space="preserve">protection et </w:t>
      </w:r>
      <w:r>
        <w:rPr>
          <w:rFonts w:ascii="Rockwell" w:hAnsi="Rockwell"/>
          <w:sz w:val="26"/>
          <w:szCs w:val="26"/>
        </w:rPr>
        <w:t xml:space="preserve">la </w:t>
      </w:r>
      <w:r w:rsidR="008D3596" w:rsidRPr="00BA6E7D">
        <w:rPr>
          <w:rFonts w:ascii="Rockwell" w:hAnsi="Rockwell"/>
          <w:sz w:val="26"/>
          <w:szCs w:val="26"/>
        </w:rPr>
        <w:t>gestion intégrée des ressources en eau (souterraine et de surf</w:t>
      </w:r>
      <w:r w:rsidR="003967C1" w:rsidRPr="00BA6E7D">
        <w:rPr>
          <w:rFonts w:ascii="Rockwell" w:hAnsi="Rockwell"/>
          <w:sz w:val="26"/>
          <w:szCs w:val="26"/>
        </w:rPr>
        <w:t>ace) en quantité suffisante ;</w:t>
      </w:r>
      <w:r w:rsidR="008D3596" w:rsidRPr="00BA6E7D">
        <w:rPr>
          <w:rFonts w:ascii="Rockwell" w:hAnsi="Rockwell"/>
          <w:sz w:val="26"/>
          <w:szCs w:val="26"/>
        </w:rPr>
        <w:t xml:space="preserve"> </w:t>
      </w:r>
    </w:p>
    <w:p w14:paraId="79F2905E" w14:textId="42A24C53"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lastRenderedPageBreak/>
        <w:t xml:space="preserve">la </w:t>
      </w:r>
      <w:r w:rsidRPr="00BA6E7D">
        <w:rPr>
          <w:rFonts w:ascii="Rockwell" w:hAnsi="Rockwell"/>
          <w:sz w:val="26"/>
          <w:szCs w:val="26"/>
        </w:rPr>
        <w:t xml:space="preserve">réduction </w:t>
      </w:r>
      <w:r w:rsidR="008D3596" w:rsidRPr="00BA6E7D">
        <w:rPr>
          <w:rFonts w:ascii="Rockwell" w:hAnsi="Rockwell"/>
          <w:sz w:val="26"/>
          <w:szCs w:val="26"/>
        </w:rPr>
        <w:t>du déficit fourrager et hydrique (installation d’unité de production d’aliment</w:t>
      </w:r>
      <w:r w:rsidR="00D807C2">
        <w:rPr>
          <w:rFonts w:ascii="Rockwell" w:hAnsi="Rockwell"/>
          <w:sz w:val="26"/>
          <w:szCs w:val="26"/>
        </w:rPr>
        <w:t>s</w:t>
      </w:r>
      <w:r w:rsidR="008D3596" w:rsidRPr="00BA6E7D">
        <w:rPr>
          <w:rFonts w:ascii="Rockwell" w:hAnsi="Rockwell"/>
          <w:sz w:val="26"/>
          <w:szCs w:val="26"/>
        </w:rPr>
        <w:t xml:space="preserve"> pour bétail et volaille, de points d’eau d’abreuvement, promotio</w:t>
      </w:r>
      <w:r w:rsidR="003967C1" w:rsidRPr="00BA6E7D">
        <w:rPr>
          <w:rFonts w:ascii="Rockwell" w:hAnsi="Rockwell"/>
          <w:sz w:val="26"/>
          <w:szCs w:val="26"/>
        </w:rPr>
        <w:t xml:space="preserve">n des cultures fourragères) </w:t>
      </w:r>
      <w:r w:rsidR="008D3596" w:rsidRPr="00BA6E7D">
        <w:rPr>
          <w:rFonts w:ascii="Rockwell" w:hAnsi="Rockwell"/>
          <w:sz w:val="26"/>
          <w:szCs w:val="26"/>
        </w:rPr>
        <w:t>;</w:t>
      </w:r>
      <w:r w:rsidR="000637E7" w:rsidRPr="00BA6E7D">
        <w:rPr>
          <w:rFonts w:ascii="Rockwell" w:hAnsi="Rockwell"/>
          <w:sz w:val="26"/>
          <w:szCs w:val="26"/>
        </w:rPr>
        <w:t xml:space="preserve"> </w:t>
      </w:r>
    </w:p>
    <w:p w14:paraId="3AD07546" w14:textId="1599D684"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valorisation </w:t>
      </w:r>
      <w:r w:rsidR="008D3596" w:rsidRPr="00BA6E7D">
        <w:rPr>
          <w:rFonts w:ascii="Rockwell" w:hAnsi="Rockwell"/>
          <w:sz w:val="26"/>
          <w:szCs w:val="26"/>
        </w:rPr>
        <w:t xml:space="preserve">du potentiel </w:t>
      </w:r>
      <w:r w:rsidR="003967C1" w:rsidRPr="00BA6E7D">
        <w:rPr>
          <w:rFonts w:ascii="Rockwell" w:hAnsi="Rockwell"/>
          <w:sz w:val="26"/>
          <w:szCs w:val="26"/>
        </w:rPr>
        <w:t xml:space="preserve">génétique des races locales </w:t>
      </w:r>
      <w:r w:rsidR="008D3596" w:rsidRPr="00BA6E7D">
        <w:rPr>
          <w:rFonts w:ascii="Rockwell" w:hAnsi="Rockwell"/>
          <w:sz w:val="26"/>
          <w:szCs w:val="26"/>
        </w:rPr>
        <w:t>;</w:t>
      </w:r>
      <w:r w:rsidR="000637E7" w:rsidRPr="00BA6E7D">
        <w:rPr>
          <w:rFonts w:ascii="Rockwell" w:hAnsi="Rockwell"/>
          <w:sz w:val="26"/>
          <w:szCs w:val="26"/>
        </w:rPr>
        <w:t xml:space="preserve"> </w:t>
      </w:r>
    </w:p>
    <w:p w14:paraId="475ACE51" w14:textId="665B2B15"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de la conservation et la restau</w:t>
      </w:r>
      <w:r w:rsidR="003967C1" w:rsidRPr="00BA6E7D">
        <w:rPr>
          <w:rFonts w:ascii="Rockwell" w:hAnsi="Rockwell"/>
          <w:sz w:val="26"/>
          <w:szCs w:val="26"/>
        </w:rPr>
        <w:t>ration des terres dégradées ;</w:t>
      </w:r>
      <w:r w:rsidR="00DA4234" w:rsidRPr="00BA6E7D">
        <w:rPr>
          <w:rFonts w:ascii="Rockwell" w:hAnsi="Rockwell"/>
          <w:sz w:val="26"/>
          <w:szCs w:val="26"/>
        </w:rPr>
        <w:t xml:space="preserve"> </w:t>
      </w:r>
    </w:p>
    <w:p w14:paraId="7C8F4C48" w14:textId="4EBC9777"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l’</w:t>
      </w:r>
      <w:r w:rsidRPr="00BA6E7D">
        <w:rPr>
          <w:rFonts w:ascii="Rockwell" w:hAnsi="Rockwell"/>
          <w:sz w:val="26"/>
          <w:szCs w:val="26"/>
        </w:rPr>
        <w:t xml:space="preserve">amélioration </w:t>
      </w:r>
      <w:r w:rsidR="008D3596" w:rsidRPr="00BA6E7D">
        <w:rPr>
          <w:rFonts w:ascii="Rockwell" w:hAnsi="Rockwell"/>
          <w:sz w:val="26"/>
          <w:szCs w:val="26"/>
        </w:rPr>
        <w:t>de la transforma</w:t>
      </w:r>
      <w:r w:rsidR="003967C1" w:rsidRPr="00BA6E7D">
        <w:rPr>
          <w:rFonts w:ascii="Rockwell" w:hAnsi="Rockwell"/>
          <w:sz w:val="26"/>
          <w:szCs w:val="26"/>
        </w:rPr>
        <w:t>tion des produits ASPHF ;</w:t>
      </w:r>
    </w:p>
    <w:p w14:paraId="484812ED" w14:textId="2C9C5A15"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des structures d’analyse qualité gérées par les</w:t>
      </w:r>
      <w:r w:rsidR="003967C1" w:rsidRPr="00BA6E7D">
        <w:rPr>
          <w:rFonts w:ascii="Rockwell" w:hAnsi="Rockwell"/>
          <w:sz w:val="26"/>
          <w:szCs w:val="26"/>
        </w:rPr>
        <w:t xml:space="preserve"> professionnels </w:t>
      </w:r>
      <w:r w:rsidR="001C1FD8" w:rsidRPr="00BA6E7D">
        <w:rPr>
          <w:rFonts w:ascii="Rockwell" w:hAnsi="Rockwell"/>
          <w:sz w:val="26"/>
          <w:szCs w:val="26"/>
        </w:rPr>
        <w:t>privés ;</w:t>
      </w:r>
      <w:r w:rsidR="00DA4234" w:rsidRPr="00BA6E7D">
        <w:rPr>
          <w:rFonts w:ascii="Rockwell" w:hAnsi="Rockwell"/>
          <w:sz w:val="26"/>
          <w:szCs w:val="26"/>
        </w:rPr>
        <w:t xml:space="preserve"> </w:t>
      </w:r>
    </w:p>
    <w:p w14:paraId="0BAD682B" w14:textId="6DA359C6"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promotion </w:t>
      </w:r>
      <w:r w:rsidR="008D3596" w:rsidRPr="00BA6E7D">
        <w:rPr>
          <w:rFonts w:ascii="Rockwell" w:hAnsi="Rockwell"/>
          <w:sz w:val="26"/>
          <w:szCs w:val="26"/>
        </w:rPr>
        <w:t>de la certification des produits ASPHF</w:t>
      </w:r>
      <w:r w:rsidR="00FE5048" w:rsidRPr="00BA6E7D">
        <w:rPr>
          <w:rFonts w:ascii="Rockwell" w:hAnsi="Rockwell"/>
          <w:sz w:val="26"/>
          <w:szCs w:val="26"/>
        </w:rPr>
        <w:t xml:space="preserve"> aux normes de qualité ;</w:t>
      </w:r>
      <w:r w:rsidR="00DA4234" w:rsidRPr="00BA6E7D">
        <w:rPr>
          <w:rFonts w:ascii="Rockwell" w:hAnsi="Rockwell"/>
          <w:sz w:val="26"/>
          <w:szCs w:val="26"/>
        </w:rPr>
        <w:t xml:space="preserve"> </w:t>
      </w:r>
    </w:p>
    <w:p w14:paraId="109A1375" w14:textId="6DD66179"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développement </w:t>
      </w:r>
      <w:r w:rsidR="008D3596" w:rsidRPr="00BA6E7D">
        <w:rPr>
          <w:rFonts w:ascii="Rockwell" w:hAnsi="Rockwell"/>
          <w:sz w:val="26"/>
          <w:szCs w:val="26"/>
        </w:rPr>
        <w:t>des techniques de transformation et d’assurance qualité</w:t>
      </w:r>
      <w:r w:rsidR="00FE5048" w:rsidRPr="00BA6E7D">
        <w:rPr>
          <w:rFonts w:ascii="Rockwell" w:hAnsi="Rockwell"/>
          <w:sz w:val="26"/>
          <w:szCs w:val="26"/>
        </w:rPr>
        <w:t xml:space="preserve"> des productions ASPHF ;</w:t>
      </w:r>
      <w:r w:rsidR="00DA4234" w:rsidRPr="00BA6E7D">
        <w:rPr>
          <w:rFonts w:ascii="Rockwell" w:hAnsi="Rockwell"/>
          <w:sz w:val="26"/>
          <w:szCs w:val="26"/>
        </w:rPr>
        <w:t xml:space="preserve"> </w:t>
      </w:r>
    </w:p>
    <w:p w14:paraId="38C11268" w14:textId="2B56282B" w:rsidR="00254AF0" w:rsidRP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 xml:space="preserve">des mesures incitatives pour le </w:t>
      </w:r>
      <w:r w:rsidR="00BA6E7D" w:rsidRPr="00BA6E7D">
        <w:rPr>
          <w:rFonts w:ascii="Rockwell" w:hAnsi="Rockwell"/>
          <w:sz w:val="26"/>
          <w:szCs w:val="26"/>
        </w:rPr>
        <w:t>renouvellement)</w:t>
      </w:r>
      <w:r w:rsidR="008D3596" w:rsidRPr="00BA6E7D">
        <w:rPr>
          <w:rFonts w:ascii="Rockwell" w:hAnsi="Rockwell"/>
          <w:sz w:val="26"/>
          <w:szCs w:val="26"/>
        </w:rPr>
        <w:t xml:space="preserve"> du parc automobile de transport des p</w:t>
      </w:r>
      <w:r w:rsidR="00FE5048" w:rsidRPr="00BA6E7D">
        <w:rPr>
          <w:rFonts w:ascii="Rockwell" w:hAnsi="Rockwell"/>
          <w:sz w:val="26"/>
          <w:szCs w:val="26"/>
        </w:rPr>
        <w:t>roduits alimentaires</w:t>
      </w:r>
      <w:r w:rsidR="00595E27" w:rsidRPr="00BA6E7D">
        <w:rPr>
          <w:rFonts w:ascii="Rockwell" w:hAnsi="Rockwell"/>
          <w:sz w:val="26"/>
          <w:szCs w:val="26"/>
        </w:rPr>
        <w:t xml:space="preserve"> de 25</w:t>
      </w:r>
      <w:r w:rsidR="00BA6E7D">
        <w:rPr>
          <w:rFonts w:ascii="Rockwell" w:hAnsi="Rockwell"/>
          <w:sz w:val="26"/>
          <w:szCs w:val="26"/>
        </w:rPr>
        <w:t xml:space="preserve"> % d’ici à 2030.</w:t>
      </w:r>
    </w:p>
    <w:p w14:paraId="728A3510" w14:textId="2DC76B47" w:rsidR="001C1FD8"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51" w:name="_Toc80650216"/>
      <w:bookmarkStart w:id="52" w:name="_Toc80650439"/>
      <w:bookmarkStart w:id="53" w:name="_Toc80650467"/>
      <w:bookmarkStart w:id="54" w:name="_Toc80701351"/>
      <w:bookmarkStart w:id="55" w:name="_Toc80701639"/>
      <w:bookmarkStart w:id="56" w:name="_Toc82164356"/>
      <w:r w:rsidRPr="007D2F0F">
        <w:rPr>
          <w:rFonts w:ascii="Rockwell" w:hAnsi="Rockwell" w:cs="Times New Roman"/>
          <w:b/>
          <w:color w:val="auto"/>
          <w:sz w:val="26"/>
          <w:szCs w:val="26"/>
        </w:rPr>
        <w:t>DEFINIR COMMENT LES PARTIES PRENANTES PEUVENT COLLABORER A DES ACTIONS COLLECTIVES</w:t>
      </w:r>
      <w:bookmarkEnd w:id="51"/>
      <w:bookmarkEnd w:id="52"/>
      <w:bookmarkEnd w:id="53"/>
      <w:bookmarkEnd w:id="54"/>
      <w:bookmarkEnd w:id="55"/>
      <w:bookmarkEnd w:id="56"/>
    </w:p>
    <w:p w14:paraId="3B22ACA3" w14:textId="7478DF36" w:rsidR="001C1FD8" w:rsidRPr="007D2F0F" w:rsidRDefault="001C1FD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 xml:space="preserve">Les </w:t>
      </w:r>
      <w:r w:rsidR="00B45D97" w:rsidRPr="007D2F0F">
        <w:rPr>
          <w:rFonts w:ascii="Rockwell" w:eastAsia="Calibri" w:hAnsi="Rockwell"/>
          <w:sz w:val="26"/>
          <w:szCs w:val="26"/>
          <w:lang w:eastAsia="en-US"/>
        </w:rPr>
        <w:t>S</w:t>
      </w:r>
      <w:r w:rsidRPr="007D2F0F">
        <w:rPr>
          <w:rFonts w:ascii="Rockwell" w:eastAsia="Calibri" w:hAnsi="Rockwell"/>
          <w:sz w:val="26"/>
          <w:szCs w:val="26"/>
          <w:lang w:eastAsia="en-US"/>
        </w:rPr>
        <w:t xml:space="preserve">ystèmes </w:t>
      </w:r>
      <w:r w:rsidR="00B45D97"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limentaires impliquent une multitude d’acteurs à plusieurs niveaux de décision aussi bien au niveau du secteur public, du secteur privé et des organisations de la société civile. Les acteurs de la santé, de la nutrition, de l’éducation, de la recherche, de l’environnement, la planification du développement urbain et national, le commerce, les infrastructures et les politiques de l’emploi doivent interagir pour </w:t>
      </w:r>
      <w:r w:rsidR="00305468" w:rsidRPr="007D2F0F">
        <w:rPr>
          <w:rFonts w:ascii="Rockwell" w:eastAsia="Calibri" w:hAnsi="Rockwell"/>
          <w:sz w:val="26"/>
          <w:szCs w:val="26"/>
          <w:lang w:eastAsia="en-US"/>
        </w:rPr>
        <w:t xml:space="preserve">relever les </w:t>
      </w:r>
      <w:r w:rsidR="00E174C6" w:rsidRPr="007D2F0F">
        <w:rPr>
          <w:rFonts w:ascii="Rockwell" w:eastAsia="Calibri" w:hAnsi="Rockwell"/>
          <w:sz w:val="26"/>
          <w:szCs w:val="26"/>
          <w:lang w:eastAsia="en-US"/>
        </w:rPr>
        <w:t>défis des</w:t>
      </w:r>
      <w:r w:rsidRPr="007D2F0F">
        <w:rPr>
          <w:rFonts w:ascii="Rockwell" w:eastAsia="Calibri" w:hAnsi="Rockwell"/>
          <w:sz w:val="26"/>
          <w:szCs w:val="26"/>
          <w:lang w:eastAsia="en-US"/>
        </w:rPr>
        <w:t xml:space="preserve"> </w:t>
      </w:r>
      <w:r w:rsidR="00305468" w:rsidRPr="007D2F0F">
        <w:rPr>
          <w:rFonts w:ascii="Rockwell" w:eastAsia="Calibri" w:hAnsi="Rockwell"/>
          <w:sz w:val="26"/>
          <w:szCs w:val="26"/>
          <w:lang w:eastAsia="en-US"/>
        </w:rPr>
        <w:t>S</w:t>
      </w:r>
      <w:r w:rsidRPr="007D2F0F">
        <w:rPr>
          <w:rFonts w:ascii="Rockwell" w:eastAsia="Calibri" w:hAnsi="Rockwell"/>
          <w:sz w:val="26"/>
          <w:szCs w:val="26"/>
          <w:lang w:eastAsia="en-US"/>
        </w:rPr>
        <w:t>ystème</w:t>
      </w:r>
      <w:r w:rsidR="00595E27" w:rsidRPr="007D2F0F">
        <w:rPr>
          <w:rFonts w:ascii="Rockwell" w:eastAsia="Calibri" w:hAnsi="Rockwell"/>
          <w:sz w:val="26"/>
          <w:szCs w:val="26"/>
          <w:lang w:eastAsia="en-US"/>
        </w:rPr>
        <w:t>s</w:t>
      </w:r>
      <w:r w:rsidRPr="007D2F0F">
        <w:rPr>
          <w:rFonts w:ascii="Rockwell" w:eastAsia="Calibri" w:hAnsi="Rockwell"/>
          <w:sz w:val="26"/>
          <w:szCs w:val="26"/>
          <w:lang w:eastAsia="en-US"/>
        </w:rPr>
        <w:t xml:space="preserve"> </w:t>
      </w:r>
      <w:r w:rsidR="00305468" w:rsidRPr="007D2F0F">
        <w:rPr>
          <w:rFonts w:ascii="Rockwell" w:eastAsia="Calibri" w:hAnsi="Rockwell"/>
          <w:sz w:val="26"/>
          <w:szCs w:val="26"/>
          <w:lang w:eastAsia="en-US"/>
        </w:rPr>
        <w:t>A</w:t>
      </w:r>
      <w:r w:rsidRPr="007D2F0F">
        <w:rPr>
          <w:rFonts w:ascii="Rockwell" w:eastAsia="Calibri" w:hAnsi="Rockwell"/>
          <w:sz w:val="26"/>
          <w:szCs w:val="26"/>
          <w:lang w:eastAsia="en-US"/>
        </w:rPr>
        <w:t>limentaire</w:t>
      </w:r>
      <w:r w:rsidR="00595E27" w:rsidRPr="007D2F0F">
        <w:rPr>
          <w:rFonts w:ascii="Rockwell" w:eastAsia="Calibri" w:hAnsi="Rockwell"/>
          <w:sz w:val="26"/>
          <w:szCs w:val="26"/>
          <w:lang w:eastAsia="en-US"/>
        </w:rPr>
        <w:t>s</w:t>
      </w:r>
      <w:r w:rsidRPr="007D2F0F">
        <w:rPr>
          <w:rFonts w:ascii="Rockwell" w:eastAsia="Calibri" w:hAnsi="Rockwell"/>
          <w:sz w:val="26"/>
          <w:szCs w:val="26"/>
          <w:lang w:eastAsia="en-US"/>
        </w:rPr>
        <w:t>.</w:t>
      </w:r>
    </w:p>
    <w:p w14:paraId="3C45AC93" w14:textId="35B13A80" w:rsidR="001C1FD8" w:rsidRPr="007D2F0F" w:rsidRDefault="0030546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Pour le volet</w:t>
      </w:r>
      <w:r w:rsidR="001C1FD8" w:rsidRPr="007D2F0F">
        <w:rPr>
          <w:rFonts w:ascii="Rockwell" w:eastAsia="Calibri" w:hAnsi="Rockwell"/>
          <w:sz w:val="26"/>
          <w:szCs w:val="26"/>
          <w:lang w:eastAsia="en-US"/>
        </w:rPr>
        <w:t xml:space="preserve"> </w:t>
      </w:r>
      <w:r w:rsidR="00DA4234" w:rsidRPr="007D2F0F">
        <w:rPr>
          <w:rFonts w:ascii="Rockwell" w:eastAsia="Calibri" w:hAnsi="Rockwell"/>
          <w:sz w:val="26"/>
          <w:szCs w:val="26"/>
          <w:lang w:eastAsia="en-US"/>
        </w:rPr>
        <w:t>production,</w:t>
      </w:r>
      <w:r w:rsidRPr="007D2F0F">
        <w:rPr>
          <w:rFonts w:ascii="Rockwell" w:eastAsia="Calibri" w:hAnsi="Rockwell"/>
          <w:sz w:val="26"/>
          <w:szCs w:val="26"/>
          <w:lang w:eastAsia="en-US"/>
        </w:rPr>
        <w:t xml:space="preserve"> ces acteurs </w:t>
      </w:r>
      <w:r w:rsidR="001C1FD8" w:rsidRPr="007D2F0F">
        <w:rPr>
          <w:rFonts w:ascii="Rockwell" w:eastAsia="Calibri" w:hAnsi="Rockwell"/>
          <w:sz w:val="26"/>
          <w:szCs w:val="26"/>
          <w:lang w:eastAsia="en-US"/>
        </w:rPr>
        <w:t xml:space="preserve">travailleront en étroite collaboration avec les acteurs de la recherche pour disposer des semences améliorées et des variétés à haut rendement qui résistent aux attaques des </w:t>
      </w:r>
      <w:r w:rsidR="00DA4234" w:rsidRPr="007D2F0F">
        <w:rPr>
          <w:rFonts w:ascii="Rockwell" w:eastAsia="Calibri" w:hAnsi="Rockwell"/>
          <w:sz w:val="26"/>
          <w:szCs w:val="26"/>
          <w:lang w:eastAsia="en-US"/>
        </w:rPr>
        <w:t>prédateurs,</w:t>
      </w:r>
      <w:r w:rsidRPr="007D2F0F">
        <w:rPr>
          <w:rFonts w:ascii="Rockwell" w:eastAsia="Calibri" w:hAnsi="Rockwell"/>
          <w:sz w:val="26"/>
          <w:szCs w:val="26"/>
          <w:lang w:eastAsia="en-US"/>
        </w:rPr>
        <w:t xml:space="preserve"> </w:t>
      </w:r>
      <w:r w:rsidR="001C1FD8" w:rsidRPr="007D2F0F">
        <w:rPr>
          <w:rFonts w:ascii="Rockwell" w:eastAsia="Calibri" w:hAnsi="Rockwell"/>
          <w:sz w:val="26"/>
          <w:szCs w:val="26"/>
          <w:lang w:eastAsia="en-US"/>
        </w:rPr>
        <w:t xml:space="preserve">des ennemis des cultures </w:t>
      </w:r>
      <w:r w:rsidRPr="007D2F0F">
        <w:rPr>
          <w:rFonts w:ascii="Rockwell" w:eastAsia="Calibri" w:hAnsi="Rockwell"/>
          <w:sz w:val="26"/>
          <w:szCs w:val="26"/>
          <w:lang w:eastAsia="en-US"/>
        </w:rPr>
        <w:t>et adapt</w:t>
      </w:r>
      <w:r w:rsidR="001E29C3" w:rsidRPr="007D2F0F">
        <w:rPr>
          <w:rFonts w:ascii="Rockwell" w:eastAsia="Calibri" w:hAnsi="Rockwell"/>
          <w:sz w:val="26"/>
          <w:szCs w:val="26"/>
          <w:lang w:eastAsia="en-US"/>
        </w:rPr>
        <w:t>ées</w:t>
      </w:r>
      <w:r w:rsidRPr="007D2F0F">
        <w:rPr>
          <w:rFonts w:ascii="Rockwell" w:eastAsia="Calibri" w:hAnsi="Rockwell"/>
          <w:sz w:val="26"/>
          <w:szCs w:val="26"/>
          <w:lang w:eastAsia="en-US"/>
        </w:rPr>
        <w:t xml:space="preserve"> </w:t>
      </w:r>
      <w:r w:rsidR="00E174C6" w:rsidRPr="007D2F0F">
        <w:rPr>
          <w:rFonts w:ascii="Rockwell" w:eastAsia="Calibri" w:hAnsi="Rockwell"/>
          <w:sz w:val="26"/>
          <w:szCs w:val="26"/>
          <w:lang w:eastAsia="en-US"/>
        </w:rPr>
        <w:t>au contexte</w:t>
      </w:r>
      <w:r w:rsidR="001C1FD8" w:rsidRPr="007D2F0F">
        <w:rPr>
          <w:rFonts w:ascii="Rockwell" w:eastAsia="Calibri" w:hAnsi="Rockwell"/>
          <w:sz w:val="26"/>
          <w:szCs w:val="26"/>
          <w:lang w:eastAsia="en-US"/>
        </w:rPr>
        <w:t xml:space="preserve"> des changements climatiques. La recherche scientifique devrait permettre de disposer des technologies de transformation </w:t>
      </w:r>
      <w:r w:rsidR="00DA4234" w:rsidRPr="007D2F0F">
        <w:rPr>
          <w:rFonts w:ascii="Rockwell" w:eastAsia="Calibri" w:hAnsi="Rockwell"/>
          <w:sz w:val="26"/>
          <w:szCs w:val="26"/>
          <w:lang w:eastAsia="en-US"/>
        </w:rPr>
        <w:t>adaptée</w:t>
      </w:r>
      <w:r w:rsidR="001C1FD8" w:rsidRPr="007D2F0F">
        <w:rPr>
          <w:rFonts w:ascii="Rockwell" w:eastAsia="Calibri" w:hAnsi="Rockwell"/>
          <w:sz w:val="26"/>
          <w:szCs w:val="26"/>
          <w:lang w:eastAsia="en-US"/>
        </w:rPr>
        <w:t>, des infrastructures de conservation/stockage qui tiennent compte de la spécificité des productions.</w:t>
      </w:r>
    </w:p>
    <w:p w14:paraId="57FA688E" w14:textId="43DA6686" w:rsidR="00F95665" w:rsidRDefault="001C1FD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 xml:space="preserve">En matière de commercialisation, de transformation des produits, des </w:t>
      </w:r>
      <w:r w:rsidR="001E29C3"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lliances productives et l’agriculture contractuelle seront promues. Cela à l’effet d’assurer un marché conséquent plus rémunérateur aux producteurs, de permettre aux </w:t>
      </w:r>
      <w:r w:rsidR="001E29C3" w:rsidRPr="007D2F0F">
        <w:rPr>
          <w:rFonts w:ascii="Rockwell" w:eastAsia="Calibri" w:hAnsi="Rockwell"/>
          <w:sz w:val="26"/>
          <w:szCs w:val="26"/>
          <w:lang w:eastAsia="en-US"/>
        </w:rPr>
        <w:t>U</w:t>
      </w:r>
      <w:r w:rsidRPr="007D2F0F">
        <w:rPr>
          <w:rFonts w:ascii="Rockwell" w:eastAsia="Calibri" w:hAnsi="Rockwell"/>
          <w:sz w:val="26"/>
          <w:szCs w:val="26"/>
          <w:lang w:eastAsia="en-US"/>
        </w:rPr>
        <w:t xml:space="preserve">nités de transformation de fonctionner à partir des matières premières fournies par les productions locales et éviter les ruptures en cas de chocs externes. Les </w:t>
      </w:r>
      <w:r w:rsidR="001E29C3"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lliances </w:t>
      </w:r>
      <w:r w:rsidRPr="007D2F0F">
        <w:rPr>
          <w:rFonts w:ascii="Rockwell" w:eastAsia="Calibri" w:hAnsi="Rockwell"/>
          <w:sz w:val="26"/>
          <w:szCs w:val="26"/>
          <w:lang w:eastAsia="en-US"/>
        </w:rPr>
        <w:lastRenderedPageBreak/>
        <w:t>productives mettr</w:t>
      </w:r>
      <w:r w:rsidR="00B45D97" w:rsidRPr="007D2F0F">
        <w:rPr>
          <w:rFonts w:ascii="Rockwell" w:eastAsia="Calibri" w:hAnsi="Rockwell"/>
          <w:sz w:val="26"/>
          <w:szCs w:val="26"/>
          <w:lang w:eastAsia="en-US"/>
        </w:rPr>
        <w:t>ont</w:t>
      </w:r>
      <w:r w:rsidRPr="007D2F0F">
        <w:rPr>
          <w:rFonts w:ascii="Rockwell" w:eastAsia="Calibri" w:hAnsi="Rockwell"/>
          <w:sz w:val="26"/>
          <w:szCs w:val="26"/>
          <w:lang w:eastAsia="en-US"/>
        </w:rPr>
        <w:t xml:space="preserve"> l’accent sur la production, la transformation et la commercialisation des productions à haute valeur nutritive. Dans le domaine de la consommation</w:t>
      </w:r>
      <w:r w:rsidR="00B45D97" w:rsidRPr="007D2F0F">
        <w:rPr>
          <w:rFonts w:ascii="Rockwell" w:eastAsia="Calibri" w:hAnsi="Rockwell"/>
          <w:sz w:val="26"/>
          <w:szCs w:val="26"/>
          <w:lang w:eastAsia="en-US"/>
        </w:rPr>
        <w:t xml:space="preserve"> un partenariat public privé sera </w:t>
      </w:r>
      <w:r w:rsidR="00E174C6" w:rsidRPr="007D2F0F">
        <w:rPr>
          <w:rFonts w:ascii="Rockwell" w:eastAsia="Calibri" w:hAnsi="Rockwell"/>
          <w:sz w:val="26"/>
          <w:szCs w:val="26"/>
          <w:lang w:eastAsia="en-US"/>
        </w:rPr>
        <w:t>développé pour</w:t>
      </w:r>
      <w:r w:rsidR="00B45D97" w:rsidRPr="007D2F0F">
        <w:rPr>
          <w:rFonts w:ascii="Rockwell" w:eastAsia="Calibri" w:hAnsi="Rockwell"/>
          <w:sz w:val="26"/>
          <w:szCs w:val="26"/>
          <w:lang w:eastAsia="en-US"/>
        </w:rPr>
        <w:t xml:space="preserve"> </w:t>
      </w:r>
      <w:r w:rsidR="00560DFE">
        <w:rPr>
          <w:rFonts w:ascii="Rockwell" w:eastAsia="Calibri" w:hAnsi="Rockwell"/>
          <w:sz w:val="26"/>
          <w:szCs w:val="26"/>
          <w:lang w:eastAsia="en-US"/>
        </w:rPr>
        <w:t>accompagner</w:t>
      </w:r>
      <w:r w:rsidRPr="007D2F0F">
        <w:rPr>
          <w:rFonts w:ascii="Rockwell" w:eastAsia="Calibri" w:hAnsi="Rockwell"/>
          <w:sz w:val="26"/>
          <w:szCs w:val="26"/>
          <w:lang w:eastAsia="en-US"/>
        </w:rPr>
        <w:t xml:space="preserve"> </w:t>
      </w:r>
      <w:r w:rsidR="00B45D97" w:rsidRPr="007D2F0F">
        <w:rPr>
          <w:rFonts w:ascii="Rockwell" w:eastAsia="Calibri" w:hAnsi="Rockwell"/>
          <w:sz w:val="26"/>
          <w:szCs w:val="26"/>
          <w:lang w:eastAsia="en-US"/>
        </w:rPr>
        <w:t xml:space="preserve">la mise en œuvre </w:t>
      </w:r>
      <w:r w:rsidRPr="007D2F0F">
        <w:rPr>
          <w:rFonts w:ascii="Rockwell" w:eastAsia="Calibri" w:hAnsi="Rockwell"/>
          <w:sz w:val="26"/>
          <w:szCs w:val="26"/>
          <w:lang w:eastAsia="en-US"/>
        </w:rPr>
        <w:t xml:space="preserve">de l’initiative présidentielle « assurer </w:t>
      </w:r>
      <w:r w:rsidR="00584D40" w:rsidRPr="007D2F0F">
        <w:rPr>
          <w:rFonts w:ascii="Rockwell" w:eastAsia="Calibri" w:hAnsi="Rockwell"/>
          <w:sz w:val="26"/>
          <w:szCs w:val="26"/>
          <w:lang w:eastAsia="en-US"/>
        </w:rPr>
        <w:t xml:space="preserve">à chaque enfant en âge scolaire  au moins </w:t>
      </w:r>
      <w:r w:rsidRPr="007D2F0F">
        <w:rPr>
          <w:rFonts w:ascii="Rockwell" w:eastAsia="Calibri" w:hAnsi="Rockwell"/>
          <w:sz w:val="26"/>
          <w:szCs w:val="26"/>
          <w:lang w:eastAsia="en-US"/>
        </w:rPr>
        <w:t>un repas équilibré</w:t>
      </w:r>
      <w:r w:rsidR="00584D40" w:rsidRPr="007D2F0F">
        <w:rPr>
          <w:rFonts w:ascii="Rockwell" w:eastAsia="Calibri" w:hAnsi="Rockwell"/>
          <w:sz w:val="26"/>
          <w:szCs w:val="26"/>
          <w:lang w:eastAsia="en-US"/>
        </w:rPr>
        <w:t xml:space="preserve"> par jour »</w:t>
      </w:r>
      <w:r w:rsidRPr="007D2F0F">
        <w:rPr>
          <w:rFonts w:ascii="Rockwell" w:eastAsia="Calibri" w:hAnsi="Rockwell"/>
          <w:sz w:val="26"/>
          <w:szCs w:val="26"/>
          <w:lang w:eastAsia="en-US"/>
        </w:rPr>
        <w:t xml:space="preserve"> </w:t>
      </w:r>
      <w:r w:rsidR="00122B3A" w:rsidRPr="007D2F0F">
        <w:rPr>
          <w:rFonts w:ascii="Rockwell" w:eastAsia="Calibri" w:hAnsi="Rockwell"/>
          <w:sz w:val="26"/>
          <w:szCs w:val="26"/>
          <w:lang w:eastAsia="en-US"/>
        </w:rPr>
        <w:t>; l’Education Nutritionnelle et les modes de vie sains devront être promus</w:t>
      </w:r>
      <w:r w:rsidRPr="007D2F0F">
        <w:rPr>
          <w:rFonts w:ascii="Rockwell" w:eastAsia="Calibri" w:hAnsi="Rockwell"/>
          <w:sz w:val="26"/>
          <w:szCs w:val="26"/>
          <w:lang w:eastAsia="en-US"/>
        </w:rPr>
        <w:t>.</w:t>
      </w:r>
    </w:p>
    <w:p w14:paraId="2946AC56" w14:textId="700995FF" w:rsidR="00A77667" w:rsidRDefault="00A77667" w:rsidP="00FE6DDF">
      <w:pPr>
        <w:spacing w:after="160" w:line="259" w:lineRule="auto"/>
        <w:jc w:val="center"/>
        <w:rPr>
          <w:rFonts w:ascii="Rockwell" w:eastAsia="Calibri" w:hAnsi="Rockwell"/>
          <w:sz w:val="26"/>
          <w:szCs w:val="26"/>
          <w:lang w:eastAsia="en-US"/>
        </w:rPr>
      </w:pPr>
      <w:r w:rsidRPr="00A77667">
        <w:rPr>
          <w:rFonts w:ascii="Rockwell" w:eastAsia="Calibri" w:hAnsi="Rockwell"/>
          <w:noProof/>
          <w:sz w:val="26"/>
          <w:szCs w:val="26"/>
        </w:rPr>
        <w:drawing>
          <wp:inline distT="0" distB="0" distL="0" distR="0" wp14:anchorId="2901D0C3" wp14:editId="1506AAC3">
            <wp:extent cx="3824577" cy="2145852"/>
            <wp:effectExtent l="0" t="0" r="5080" b="6985"/>
            <wp:docPr id="7" name="Image 7" descr="C:\Users\Utilisateur\Desktop\PHOTOS CONCERTATIONS NATIONALES\WhatsApp Image 2021-09-10 at 12.1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PHOTOS CONCERTATIONS NATIONALES\WhatsApp Image 2021-09-10 at 12.19.13.jpe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865463" cy="2168792"/>
                    </a:xfrm>
                    <a:prstGeom prst="rect">
                      <a:avLst/>
                    </a:prstGeom>
                    <a:noFill/>
                    <a:ln>
                      <a:noFill/>
                    </a:ln>
                  </pic:spPr>
                </pic:pic>
              </a:graphicData>
            </a:graphic>
          </wp:inline>
        </w:drawing>
      </w:r>
    </w:p>
    <w:p w14:paraId="174E2767" w14:textId="3391BCC2" w:rsidR="00A77667" w:rsidRPr="00FE6DDF" w:rsidRDefault="00FE6DDF" w:rsidP="00FE6DDF">
      <w:pPr>
        <w:spacing w:after="160" w:line="259" w:lineRule="auto"/>
        <w:jc w:val="center"/>
        <w:rPr>
          <w:rFonts w:ascii="Rockwell" w:eastAsia="Calibri" w:hAnsi="Rockwell"/>
          <w:sz w:val="18"/>
          <w:szCs w:val="18"/>
          <w:lang w:eastAsia="en-US"/>
        </w:rPr>
      </w:pPr>
      <w:r w:rsidRPr="00FE6DDF">
        <w:rPr>
          <w:rFonts w:ascii="Rockwell" w:eastAsia="Calibri" w:hAnsi="Rockwell"/>
          <w:sz w:val="18"/>
          <w:szCs w:val="18"/>
          <w:lang w:eastAsia="en-US"/>
        </w:rPr>
        <w:t>4</w:t>
      </w:r>
      <w:r w:rsidRPr="00FE6DDF">
        <w:rPr>
          <w:rFonts w:ascii="Rockwell" w:eastAsia="Calibri" w:hAnsi="Rockwell"/>
          <w:sz w:val="18"/>
          <w:szCs w:val="18"/>
          <w:vertAlign w:val="superscript"/>
          <w:lang w:eastAsia="en-US"/>
        </w:rPr>
        <w:t>ème</w:t>
      </w:r>
      <w:r w:rsidRPr="00FE6DDF">
        <w:rPr>
          <w:rFonts w:ascii="Rockwell" w:eastAsia="Calibri" w:hAnsi="Rockwell"/>
          <w:sz w:val="18"/>
          <w:szCs w:val="18"/>
          <w:lang w:eastAsia="en-US"/>
        </w:rPr>
        <w:t xml:space="preserve"> Concertation : Vue d’ensemble de</w:t>
      </w:r>
      <w:r>
        <w:rPr>
          <w:rFonts w:ascii="Rockwell" w:eastAsia="Calibri" w:hAnsi="Rockwell"/>
          <w:sz w:val="18"/>
          <w:szCs w:val="18"/>
          <w:lang w:eastAsia="en-US"/>
        </w:rPr>
        <w:t>s parties prenantes en plénière</w:t>
      </w:r>
    </w:p>
    <w:p w14:paraId="1AA36A38" w14:textId="77777777" w:rsidR="00462881" w:rsidRDefault="0083017D" w:rsidP="004718BE">
      <w:pPr>
        <w:spacing w:after="160" w:line="259" w:lineRule="auto"/>
        <w:jc w:val="center"/>
        <w:rPr>
          <w:rFonts w:ascii="Rockwell" w:eastAsia="Calibri" w:hAnsi="Rockwell"/>
          <w:sz w:val="26"/>
          <w:szCs w:val="26"/>
          <w:lang w:eastAsia="en-US"/>
        </w:rPr>
      </w:pPr>
      <w:r w:rsidRPr="0083017D">
        <w:rPr>
          <w:rFonts w:ascii="Rockwell" w:eastAsia="Calibri" w:hAnsi="Rockwell"/>
          <w:noProof/>
          <w:sz w:val="26"/>
          <w:szCs w:val="26"/>
        </w:rPr>
        <w:drawing>
          <wp:inline distT="0" distB="0" distL="0" distR="0" wp14:anchorId="0FB7E1AE" wp14:editId="6324ECF5">
            <wp:extent cx="3876262" cy="2584174"/>
            <wp:effectExtent l="0" t="0" r="0" b="6985"/>
            <wp:docPr id="9" name="Image 9" descr="C:\Users\Utilisateur\Desktop\PHOTOS CONCERTATIONS NATIONALES\1ère concertation\IMG_4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PHOTOS CONCERTATIONS NATIONALES\1ère concertation\IMG_449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904955" cy="2603303"/>
                    </a:xfrm>
                    <a:prstGeom prst="rect">
                      <a:avLst/>
                    </a:prstGeom>
                    <a:noFill/>
                    <a:ln>
                      <a:noFill/>
                    </a:ln>
                  </pic:spPr>
                </pic:pic>
              </a:graphicData>
            </a:graphic>
          </wp:inline>
        </w:drawing>
      </w:r>
    </w:p>
    <w:p w14:paraId="3EA3EE9B" w14:textId="77777777" w:rsidR="00462881" w:rsidRDefault="00462881" w:rsidP="004718BE">
      <w:pPr>
        <w:spacing w:after="160" w:line="259" w:lineRule="auto"/>
        <w:jc w:val="center"/>
        <w:rPr>
          <w:rFonts w:ascii="Rockwell" w:eastAsia="Calibri" w:hAnsi="Rockwell"/>
          <w:sz w:val="18"/>
          <w:szCs w:val="18"/>
          <w:lang w:eastAsia="en-US"/>
        </w:rPr>
      </w:pPr>
      <w:r w:rsidRPr="00462881">
        <w:rPr>
          <w:rFonts w:ascii="Rockwell" w:eastAsia="Calibri" w:hAnsi="Rockwell"/>
          <w:sz w:val="18"/>
          <w:szCs w:val="18"/>
          <w:lang w:eastAsia="en-US"/>
        </w:rPr>
        <w:t>1ère Concertation : Allocution de la Coordonnatrice Résidente du SNU</w:t>
      </w:r>
    </w:p>
    <w:p w14:paraId="2C9BE9F0" w14:textId="320573BF" w:rsidR="00F95665" w:rsidRPr="00462881" w:rsidRDefault="00F95665" w:rsidP="004718BE">
      <w:pPr>
        <w:spacing w:after="160" w:line="259" w:lineRule="auto"/>
        <w:jc w:val="center"/>
        <w:rPr>
          <w:rFonts w:ascii="Rockwell" w:eastAsia="Calibri" w:hAnsi="Rockwell"/>
          <w:sz w:val="18"/>
          <w:szCs w:val="18"/>
          <w:lang w:eastAsia="en-US"/>
        </w:rPr>
      </w:pPr>
      <w:r w:rsidRPr="00462881">
        <w:rPr>
          <w:rFonts w:ascii="Rockwell" w:eastAsia="Calibri" w:hAnsi="Rockwell"/>
          <w:sz w:val="18"/>
          <w:szCs w:val="18"/>
          <w:lang w:eastAsia="en-US"/>
        </w:rPr>
        <w:br w:type="page"/>
      </w:r>
    </w:p>
    <w:p w14:paraId="7D598314" w14:textId="0C60131B" w:rsidR="00F95665" w:rsidRDefault="006059A0" w:rsidP="00F95665">
      <w:pPr>
        <w:pStyle w:val="Titre1"/>
        <w:spacing w:after="240" w:line="276" w:lineRule="auto"/>
        <w:rPr>
          <w:rFonts w:ascii="Rockwell" w:hAnsi="Rockwell" w:cs="Times New Roman"/>
          <w:b/>
          <w:color w:val="auto"/>
          <w:sz w:val="26"/>
          <w:szCs w:val="26"/>
        </w:rPr>
      </w:pPr>
      <w:bookmarkStart w:id="57" w:name="_Toc82164357"/>
      <w:r w:rsidRPr="00F95665">
        <w:rPr>
          <w:rFonts w:ascii="Rockwell" w:hAnsi="Rockwell" w:cs="Times New Roman"/>
          <w:b/>
          <w:color w:val="auto"/>
          <w:sz w:val="26"/>
          <w:szCs w:val="26"/>
        </w:rPr>
        <w:lastRenderedPageBreak/>
        <w:t xml:space="preserve">Annexe </w:t>
      </w:r>
      <w:r>
        <w:rPr>
          <w:rFonts w:ascii="Rockwell" w:hAnsi="Rockwell" w:cs="Times New Roman"/>
          <w:b/>
          <w:color w:val="auto"/>
          <w:sz w:val="26"/>
          <w:szCs w:val="26"/>
        </w:rPr>
        <w:t>:</w:t>
      </w:r>
      <w:r w:rsidR="00F95665" w:rsidRPr="00F95665">
        <w:rPr>
          <w:rFonts w:ascii="Rockwell" w:hAnsi="Rockwell" w:cs="Times New Roman"/>
          <w:b/>
          <w:color w:val="auto"/>
          <w:sz w:val="26"/>
          <w:szCs w:val="26"/>
        </w:rPr>
        <w:t xml:space="preserve"> </w:t>
      </w:r>
      <w:r w:rsidR="009141CE">
        <w:rPr>
          <w:rFonts w:ascii="Rockwell" w:hAnsi="Rockwell" w:cs="Times New Roman"/>
          <w:b/>
          <w:color w:val="auto"/>
          <w:sz w:val="26"/>
          <w:szCs w:val="26"/>
        </w:rPr>
        <w:t>Plan d’actions</w:t>
      </w:r>
      <w:r w:rsidR="00F95665" w:rsidRPr="00F95665">
        <w:rPr>
          <w:rFonts w:ascii="Rockwell" w:hAnsi="Rockwell" w:cs="Times New Roman"/>
          <w:b/>
          <w:color w:val="auto"/>
          <w:sz w:val="26"/>
          <w:szCs w:val="26"/>
        </w:rPr>
        <w:t xml:space="preserve"> du Burkina Faso</w:t>
      </w:r>
      <w:r w:rsidR="009141CE">
        <w:rPr>
          <w:rFonts w:ascii="Rockwell" w:hAnsi="Rockwell" w:cs="Times New Roman"/>
          <w:b/>
          <w:color w:val="auto"/>
          <w:sz w:val="26"/>
          <w:szCs w:val="26"/>
        </w:rPr>
        <w:t xml:space="preserve"> </w:t>
      </w:r>
      <w:r w:rsidR="002D7B00">
        <w:rPr>
          <w:rFonts w:ascii="Rockwell" w:hAnsi="Rockwell" w:cs="Times New Roman"/>
          <w:b/>
          <w:color w:val="auto"/>
          <w:sz w:val="26"/>
          <w:szCs w:val="26"/>
        </w:rPr>
        <w:t>pour l’Agenda 2030</w:t>
      </w:r>
      <w:bookmarkEnd w:id="57"/>
    </w:p>
    <w:p w14:paraId="6F816B3C"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Burkina Faso est un pays sahélien avec un climat tropical de type soudano sahélien et des variations pluviométriques importantes. Près de 80</w:t>
      </w:r>
      <w:r>
        <w:rPr>
          <w:rFonts w:ascii="Rockwell" w:hAnsi="Rockwell"/>
          <w:sz w:val="26"/>
          <w:szCs w:val="26"/>
        </w:rPr>
        <w:t xml:space="preserve"> </w:t>
      </w:r>
      <w:r w:rsidRPr="00B44427">
        <w:rPr>
          <w:rFonts w:ascii="Rockwell" w:hAnsi="Rockwell"/>
          <w:sz w:val="26"/>
          <w:szCs w:val="26"/>
        </w:rPr>
        <w:t>% de la population burkinabè est impliquée dans la production agro-sylvo-pastorale, halieutique et faunique. La production agricole est essentiellement extensive et de subsistance marquée par une faible mécanisation, une faible disponibilité des intrants agricoles et faible maîtrise des ressources en eau.  La disponibilité alimentaire quantitative est faible et dominée par les céréales qui occupent une place de choix avec une disponibilité moyenne de 184,4 kg/personne et par an sur la période 2013-2019. Les Disponibilités Energétiques Alimentaires (DEA) totales sur la période 2013-2019 varient entre 2599 kcal/pers/jour (niveau bas enregistré en 2017) et 2775 kcal/pers/jour (niveau maximal enregistré en 2013 avec une faible diversité alimentaire des ménages. On note une forte prévalence de la malnutrition chronique surtout chez les couches vulnérables (enfants de 0-59 mois, femmes enceintes, personnes âgées). L’insécurité alimentaire est grandissante et est accentuée par le terrorisme et la pandémie de la COVID 19. L’économie est caractérisée par des indicateurs de croissance faible (PNB, PIB, PPA, IDH…).</w:t>
      </w:r>
    </w:p>
    <w:p w14:paraId="52FBC399"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Les efforts du gouvernement visent à une intensification des systèmes de productions agro-sylvo-pastorales et une diversification des spéculations. Depuis la crise alimentaire de 2008, le gouvernement appuie ce secteur à travers des subventions aux intrants (engrais, semences, soins vétérinaires, SPAI) et aux équipements agricoles. En matière de gestion de l’eau, les aménagements hydro-agricoles (barrages, retenues d’eau, bas-fonds) se poursuivent à travers de nombreux projets. Tous ces efforts contribuent à un accroissement de la productivité et donc de la production. Pour aboutir à un système alimentaire plus intégré, le pays doit mettre l’accent sur la transformation qui va générer de la plus-value. Pour cela, l’approche filière doit être privilégiée pour prendre en compte les différents maillons de la chaîne depuis la production, le transport, le stockage, la transformation, la commercialisation, la consommation sans oublier </w:t>
      </w:r>
      <w:r>
        <w:rPr>
          <w:rFonts w:ascii="Rockwell" w:hAnsi="Rockwell"/>
          <w:sz w:val="26"/>
          <w:szCs w:val="26"/>
        </w:rPr>
        <w:t xml:space="preserve">la </w:t>
      </w:r>
      <w:r w:rsidRPr="00B44427">
        <w:rPr>
          <w:rFonts w:ascii="Rockwell" w:hAnsi="Rockwell"/>
          <w:sz w:val="26"/>
          <w:szCs w:val="26"/>
        </w:rPr>
        <w:t xml:space="preserve">gestion des déchets (économie circulaire). </w:t>
      </w:r>
    </w:p>
    <w:p w14:paraId="1F8BA684"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L’agriculture au Burkina Faso continue d'être en proie à une faible résistance aux stress biotiques et abiotiques et des pertes post-récoltes élevées. A toutes ces difficultés, s’ajoute la faiblesse de la transformation par l’industrialisation et de la valorisation des productions locales. Il est important de remarquer que la plupart des pays africains y compris le Burkina Faso manquent toujours d'engagement concret envers la science, la technologie et l'innovation (STI). Parmi les STI, l’utilisation appropriée des biotechnologies pourrait avoir un impact positif dans le développement de l’Afrique. C’est pour cela que l’Union Africaine a reconnu les biotechnologies agroalimentaires et la valorisation des ressources endogènes </w:t>
      </w:r>
      <w:r w:rsidRPr="00B44427">
        <w:rPr>
          <w:rFonts w:ascii="Rockwell" w:hAnsi="Rockwell"/>
          <w:sz w:val="26"/>
          <w:szCs w:val="26"/>
        </w:rPr>
        <w:lastRenderedPageBreak/>
        <w:t xml:space="preserve">locales comme principaux moteurs pour le développement durable de l’Afrique, sa compétition et la transformation de son économie. En conséquence, depuis 2006 le pays a adopté une loi (modifiée en 2012), autorisant l’importation ou l’expérimentation des organismes génétiquement modifiés (OGM) dans le pays sous réserve de l’avis de l’Agence Nationale de Biosécurité (ANB). Il s’avère donc nécessaire d’assurer une bonne maîtrise des biotechnologies pour l’assurance de la sécurité alimentaire, notamment les productions dérivées des OGM. L'introduction durable de la biotechnologie doit prendre en compte, en plus des questions propres à la biotechnologie, des sujets liés tels que les systèmes agricoles, la résistance sociale contre les </w:t>
      </w:r>
      <w:r>
        <w:rPr>
          <w:rFonts w:ascii="Rockwell" w:hAnsi="Rockwell"/>
          <w:sz w:val="26"/>
          <w:szCs w:val="26"/>
        </w:rPr>
        <w:t>biot</w:t>
      </w:r>
      <w:r w:rsidRPr="00B44427">
        <w:rPr>
          <w:rFonts w:ascii="Rockwell" w:hAnsi="Rockwell"/>
          <w:sz w:val="26"/>
          <w:szCs w:val="26"/>
        </w:rPr>
        <w:t xml:space="preserve">echnologies, les perceptions des risques, la réglementation et la gouvernance, l'éthique, la participation des parties prenantes, et les mécanismes d'interaction entre la science, la technologie et la société. La biotechnologie peut contribuer de manière significative à un développement agricole durable des systèmes alimentaires par l'amélioration de la productivité des cultures locales, la réduction de l’utilisation des pesticides chimiques toxiques, la protection des cultures contre les ravageurs et les pertes post-récolte, l’amélioration de la qualité nutritionnelle (enrichissement des denrées alimentaires en vitamines, acides aminés, minéraux, etc.), et ainsi donc impacter la valeur ajoutée du secteur agricole qui emploie plus de 80 % de la population. </w:t>
      </w:r>
    </w:p>
    <w:p w14:paraId="4B7FD8F0"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Plan de Réponse Humanitaire développé en 2020 doit être rigoureusement mis en œuvre. En effet, ce plan a été motivé par le fait que 2,9 millions de personnes sont confrontées aux conséquences humanitaires liées à leur condition de vie avec pour besoins cruciaux l’éducation, la sécurité alimentaire par les moyens de subsistance, la santé, la protection, l’accès sûr aux services d’eau hygiène et assainissement et des abris adéquats. En mai 2020, près 80</w:t>
      </w:r>
      <w:r>
        <w:rPr>
          <w:rFonts w:ascii="Rockwell" w:hAnsi="Rockwell"/>
          <w:sz w:val="26"/>
          <w:szCs w:val="26"/>
        </w:rPr>
        <w:t xml:space="preserve"> </w:t>
      </w:r>
      <w:r w:rsidRPr="00B44427">
        <w:rPr>
          <w:rFonts w:ascii="Rockwell" w:hAnsi="Rockwell"/>
          <w:sz w:val="26"/>
          <w:szCs w:val="26"/>
        </w:rPr>
        <w:t>% de ces personnes étaient privées totalement de services de soins de santé primaires et 100</w:t>
      </w:r>
      <w:r>
        <w:rPr>
          <w:rFonts w:ascii="Rockwell" w:hAnsi="Rockwell"/>
          <w:sz w:val="26"/>
          <w:szCs w:val="26"/>
        </w:rPr>
        <w:t xml:space="preserve"> </w:t>
      </w:r>
      <w:r w:rsidRPr="00B44427">
        <w:rPr>
          <w:rFonts w:ascii="Rockwell" w:hAnsi="Rockwell"/>
          <w:sz w:val="26"/>
          <w:szCs w:val="26"/>
        </w:rPr>
        <w:t>% avaient un faible accès à l'eau et à l'assainissement. En plus, les infrastructures éducatives de 2000 écoles ont été fermées affectant du même coup plus de 300 000 élèves et le personnel enseignant directement ciblés dans les zones touchées par la crise sécuritaire avant les mesures liées à la prévention de la COVID-19.</w:t>
      </w:r>
    </w:p>
    <w:p w14:paraId="02B257DE" w14:textId="77777777" w:rsidR="005B4857" w:rsidRDefault="005B4857" w:rsidP="005B4857">
      <w:pPr>
        <w:spacing w:after="240" w:line="276" w:lineRule="auto"/>
        <w:jc w:val="both"/>
        <w:rPr>
          <w:rFonts w:ascii="Rockwell" w:hAnsi="Rockwell"/>
          <w:sz w:val="26"/>
          <w:szCs w:val="26"/>
        </w:rPr>
      </w:pPr>
      <w:r w:rsidRPr="00B44427">
        <w:rPr>
          <w:rFonts w:ascii="Rockwell" w:hAnsi="Rockwell"/>
          <w:sz w:val="26"/>
          <w:szCs w:val="26"/>
        </w:rPr>
        <w:t>Les systèmes alimentaires pour être durables doivent reposer sur des pratiques agricoles plus écologiques et respectueuses de l’environnement. Au Burkina Faso, des études entrant dans le cadre de la Contribution Déterminée au niveau National (CND), proposent plusieurs scénarios technologiques afin de réduire la production des gaz à effet</w:t>
      </w:r>
      <w:r>
        <w:rPr>
          <w:rFonts w:ascii="Rockwell" w:hAnsi="Rockwell"/>
          <w:sz w:val="26"/>
          <w:szCs w:val="26"/>
        </w:rPr>
        <w:t>s</w:t>
      </w:r>
      <w:r w:rsidRPr="00B44427">
        <w:rPr>
          <w:rFonts w:ascii="Rockwell" w:hAnsi="Rockwell"/>
          <w:sz w:val="26"/>
          <w:szCs w:val="26"/>
        </w:rPr>
        <w:t xml:space="preserve"> de serre et de stocker le carbone dans le sol. La CDN du Burkina Faso a retenu deux (02) objectifs stratégiques majeurs qui sont : </w:t>
      </w:r>
    </w:p>
    <w:p w14:paraId="0EE1899D" w14:textId="77777777" w:rsidR="005B4857" w:rsidRDefault="005B4857" w:rsidP="005B4857">
      <w:pPr>
        <w:pStyle w:val="Paragraphedeliste"/>
        <w:numPr>
          <w:ilvl w:val="0"/>
          <w:numId w:val="5"/>
        </w:numPr>
        <w:spacing w:after="120"/>
        <w:ind w:left="714" w:hanging="357"/>
        <w:contextualSpacing w:val="0"/>
        <w:rPr>
          <w:rFonts w:ascii="Rockwell" w:hAnsi="Rockwell"/>
          <w:sz w:val="26"/>
          <w:szCs w:val="26"/>
        </w:rPr>
      </w:pPr>
      <w:r>
        <w:rPr>
          <w:rFonts w:ascii="Rockwell" w:hAnsi="Rockwell"/>
          <w:sz w:val="26"/>
          <w:szCs w:val="26"/>
        </w:rPr>
        <w:t>la réduction d</w:t>
      </w:r>
      <w:r w:rsidRPr="007E4867">
        <w:rPr>
          <w:rFonts w:ascii="Rockwell" w:hAnsi="Rockwell"/>
          <w:sz w:val="26"/>
          <w:szCs w:val="26"/>
        </w:rPr>
        <w:t xml:space="preserve">es émissions de gaz à effet de serre tout en contribuant à faire disparaitre les concentrations de gaz à effet de serre déjà présentes </w:t>
      </w:r>
      <w:r>
        <w:rPr>
          <w:rFonts w:ascii="Rockwell" w:hAnsi="Rockwell"/>
          <w:sz w:val="26"/>
          <w:szCs w:val="26"/>
        </w:rPr>
        <w:t>dans l’atmosphère (atténuation) ;</w:t>
      </w:r>
    </w:p>
    <w:p w14:paraId="7D68F4B8" w14:textId="77777777" w:rsidR="005B4857" w:rsidRPr="007E4867" w:rsidRDefault="005B4857" w:rsidP="005B4857">
      <w:pPr>
        <w:pStyle w:val="Paragraphedeliste"/>
        <w:numPr>
          <w:ilvl w:val="0"/>
          <w:numId w:val="5"/>
        </w:numPr>
        <w:spacing w:after="240"/>
        <w:ind w:left="714" w:hanging="357"/>
        <w:contextualSpacing w:val="0"/>
        <w:rPr>
          <w:rFonts w:ascii="Rockwell" w:hAnsi="Rockwell"/>
          <w:sz w:val="26"/>
          <w:szCs w:val="26"/>
        </w:rPr>
      </w:pPr>
      <w:r w:rsidRPr="007E4867">
        <w:rPr>
          <w:rFonts w:ascii="Rockwell" w:hAnsi="Rockwell"/>
          <w:sz w:val="26"/>
          <w:szCs w:val="26"/>
        </w:rPr>
        <w:lastRenderedPageBreak/>
        <w:t xml:space="preserve">la réduction de la vulnérabilité des moyens d’existence tout en renforçant la capacitation de ses populations face aux chocs climatiques (résilience). </w:t>
      </w:r>
      <w:r w:rsidRPr="007E4867">
        <w:rPr>
          <w:rFonts w:ascii="Rockwell" w:hAnsi="Rockwell"/>
          <w:bCs/>
          <w:sz w:val="26"/>
          <w:szCs w:val="26"/>
        </w:rPr>
        <w:t>La réduction des émissions des gaz à effet de serre des systèmes alimentaires</w:t>
      </w:r>
      <w:r w:rsidRPr="007E4867">
        <w:rPr>
          <w:rFonts w:ascii="Rockwell" w:hAnsi="Rockwell"/>
          <w:sz w:val="26"/>
          <w:szCs w:val="26"/>
        </w:rPr>
        <w:t xml:space="preserve"> passe aussi par l’adoption de l’utilisation des énergies renouvelables, aussi, le</w:t>
      </w:r>
      <w:r w:rsidRPr="007E4867">
        <w:rPr>
          <w:rFonts w:ascii="Rockwell" w:hAnsi="Rockwell"/>
          <w:color w:val="FF0000"/>
          <w:sz w:val="26"/>
          <w:szCs w:val="26"/>
        </w:rPr>
        <w:t xml:space="preserve"> </w:t>
      </w:r>
      <w:r w:rsidRPr="007E4867">
        <w:rPr>
          <w:rFonts w:ascii="Rockwell" w:hAnsi="Rockwell"/>
          <w:sz w:val="26"/>
          <w:szCs w:val="26"/>
        </w:rPr>
        <w:t>plan d’action des énergies renouvelables (PANER) proposé accorde une place de choix à l’élaboration de lois et de textes réglementaires spécifiques aux énergies renouvelables. La création de l’Agence Nationale des Energies Renouvelables et de l’Efficacité Energétique figure également comme un objectif prioritaire du PANER.</w:t>
      </w:r>
    </w:p>
    <w:p w14:paraId="3E813FE3"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L’agriculture familiale est la principale forme de production d’aliments dans le monde et particulièrement dans les pays en voie de développement comme le Burkina Faso. En effet, cette forme d’agriculture contribue à près de 80</w:t>
      </w:r>
      <w:r>
        <w:rPr>
          <w:rFonts w:ascii="Rockwell" w:hAnsi="Rockwell"/>
          <w:sz w:val="26"/>
          <w:szCs w:val="26"/>
        </w:rPr>
        <w:t xml:space="preserve"> </w:t>
      </w:r>
      <w:r w:rsidRPr="00B44427">
        <w:rPr>
          <w:rFonts w:ascii="Rockwell" w:hAnsi="Rockwell"/>
          <w:sz w:val="26"/>
          <w:szCs w:val="26"/>
        </w:rPr>
        <w:t xml:space="preserve">% des denrées alimentaires au niveau mondial selon le plan d’action global de la FAO sur la décennie sur l’agriculture familiale. Cependant, elle fait face à de nombreuses contraintes telles que la dégradation continue des terres et la perte de leur productivité, le faible niveau de maîtrise des technologies par les acteurs, le faible niveau d’investissement dans le secteur et surtout sa faible mécanisation. La réduction de l’utilisation des pesticides et la promotion de l’agriculture familiale avec des pratiques agro écologiques à l’horizon 2040 au Burkina Faso nécessite une innovation du secteur agricole dans </w:t>
      </w:r>
      <w:r>
        <w:rPr>
          <w:rFonts w:ascii="Rockwell" w:hAnsi="Rockwell"/>
          <w:sz w:val="26"/>
          <w:szCs w:val="26"/>
        </w:rPr>
        <w:t>son ensemble comme le suggère le</w:t>
      </w:r>
      <w:r w:rsidRPr="00B44427">
        <w:rPr>
          <w:rFonts w:ascii="Rockwell" w:hAnsi="Rockwell"/>
          <w:sz w:val="26"/>
          <w:szCs w:val="26"/>
        </w:rPr>
        <w:t xml:space="preserve"> dialogue politique sur l’innovation agricole dont les fortes recommandations sont de : </w:t>
      </w:r>
      <w:r>
        <w:rPr>
          <w:rFonts w:ascii="Rockwell" w:hAnsi="Rockwell"/>
          <w:sz w:val="26"/>
          <w:szCs w:val="26"/>
        </w:rPr>
        <w:t>(</w:t>
      </w:r>
      <w:r w:rsidRPr="00B44427">
        <w:rPr>
          <w:rFonts w:ascii="Rockwell" w:hAnsi="Rockwell"/>
          <w:sz w:val="26"/>
          <w:szCs w:val="26"/>
        </w:rPr>
        <w:t xml:space="preserve">i) réaliser un diagnostic du système national d’innovation agricole ; (ii) créer une plateforme nationale multi-acteurs et multi échelles de dialogue politique pour la pérennisation du mécanisme de dialogue autour de l’innovation agricole et (iii) réviser et adapter les curricula de la formation pour être en phase avec les besoins de modernisation et de compétitivité de l’agriculture. </w:t>
      </w:r>
    </w:p>
    <w:p w14:paraId="7F7CC9D8"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L’augmentation du financement de la recherche et des investissements dans le secteur agricole </w:t>
      </w:r>
      <w:proofErr w:type="gramStart"/>
      <w:r w:rsidRPr="00B44427">
        <w:rPr>
          <w:rFonts w:ascii="Rockwell" w:hAnsi="Rockwell"/>
          <w:sz w:val="26"/>
          <w:szCs w:val="26"/>
        </w:rPr>
        <w:t>sont</w:t>
      </w:r>
      <w:proofErr w:type="gramEnd"/>
      <w:r w:rsidRPr="00B44427">
        <w:rPr>
          <w:rFonts w:ascii="Rockwell" w:hAnsi="Rockwell"/>
          <w:sz w:val="26"/>
          <w:szCs w:val="26"/>
        </w:rPr>
        <w:t xml:space="preserve"> des composantes clés pour l’atteinte de la sécuri</w:t>
      </w:r>
      <w:r>
        <w:rPr>
          <w:rFonts w:ascii="Rockwell" w:hAnsi="Rockwell"/>
          <w:sz w:val="26"/>
          <w:szCs w:val="26"/>
        </w:rPr>
        <w:t xml:space="preserve">té alimentaire et nutritionnelle. </w:t>
      </w:r>
    </w:p>
    <w:p w14:paraId="71585043"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Les Chefs d’Etats Africains ont décidé à Khartoum en 2006 de consacrer au moins 1</w:t>
      </w:r>
      <w:r>
        <w:rPr>
          <w:rFonts w:ascii="Rockwell" w:hAnsi="Rockwell"/>
          <w:sz w:val="26"/>
          <w:szCs w:val="26"/>
        </w:rPr>
        <w:t xml:space="preserve"> </w:t>
      </w:r>
      <w:r w:rsidRPr="00B44427">
        <w:rPr>
          <w:rFonts w:ascii="Rockwell" w:hAnsi="Rockwell"/>
          <w:sz w:val="26"/>
          <w:szCs w:val="26"/>
        </w:rPr>
        <w:t>% du produit intérieur brut (PIB) de chaque pays à la promotion de la recherche et développement (R&amp;D) et de l’innovation. Pourtant, selon un document de l’UNESCO, les pays africains n’affectent actuellement en moyenne que 0,2</w:t>
      </w:r>
      <w:r>
        <w:rPr>
          <w:rFonts w:ascii="Rockwell" w:hAnsi="Rockwell"/>
          <w:sz w:val="26"/>
          <w:szCs w:val="26"/>
        </w:rPr>
        <w:t xml:space="preserve"> </w:t>
      </w:r>
      <w:r w:rsidRPr="00B44427">
        <w:rPr>
          <w:rFonts w:ascii="Rockwell" w:hAnsi="Rockwell"/>
          <w:sz w:val="26"/>
          <w:szCs w:val="26"/>
        </w:rPr>
        <w:t>% de leur PIB à la recherche-développement et ce taux est le plus bas au monde dont la moyenne est de 2</w:t>
      </w:r>
      <w:r>
        <w:rPr>
          <w:rFonts w:ascii="Rockwell" w:hAnsi="Rockwell"/>
          <w:sz w:val="26"/>
          <w:szCs w:val="26"/>
        </w:rPr>
        <w:t xml:space="preserve"> %. </w:t>
      </w:r>
      <w:r w:rsidRPr="00B44427">
        <w:rPr>
          <w:rFonts w:ascii="Rockwell" w:hAnsi="Rockwell"/>
          <w:sz w:val="26"/>
          <w:szCs w:val="26"/>
        </w:rPr>
        <w:t xml:space="preserve">Pour donner suite à l’engagement de Khartoum en 2006, le Burkina Faso a créé en 2011 le Fonds National de la recherche et de l’innovation pour le développement (FONRID). Le pays a ensuite voté la Loi No 038-2013/AN Portant loi d’orientation de la recherche scientifique et de l’innovation (LORSI). Cependant, sur les six dernières années le Burkina Faso n’a octroyé en moyenne </w:t>
      </w:r>
      <w:r w:rsidRPr="00B44427">
        <w:rPr>
          <w:rFonts w:ascii="Rockwell" w:hAnsi="Rockwell"/>
          <w:sz w:val="26"/>
          <w:szCs w:val="26"/>
        </w:rPr>
        <w:lastRenderedPageBreak/>
        <w:t>par an que 0,28</w:t>
      </w:r>
      <w:r>
        <w:rPr>
          <w:rFonts w:ascii="Rockwell" w:hAnsi="Rockwell"/>
          <w:sz w:val="26"/>
          <w:szCs w:val="26"/>
        </w:rPr>
        <w:t xml:space="preserve"> </w:t>
      </w:r>
      <w:r w:rsidRPr="00B44427">
        <w:rPr>
          <w:rFonts w:ascii="Rockwell" w:hAnsi="Rockwell"/>
          <w:sz w:val="26"/>
          <w:szCs w:val="26"/>
        </w:rPr>
        <w:t xml:space="preserve">% du budget national à la recherche scientifique qui est financée en grande partie par les partenaires techniques et financiers à travers les appels à projets. Les efforts doivent se poursuivre pour rehausser la part du PIB consacré à la recherche et développement. Un mécanisme de financement durable </w:t>
      </w:r>
      <w:proofErr w:type="gramStart"/>
      <w:r w:rsidRPr="00B44427">
        <w:rPr>
          <w:rFonts w:ascii="Rockwell" w:hAnsi="Rockwell"/>
          <w:sz w:val="26"/>
          <w:szCs w:val="26"/>
        </w:rPr>
        <w:t>de la</w:t>
      </w:r>
      <w:proofErr w:type="gramEnd"/>
      <w:r w:rsidRPr="00B44427">
        <w:rPr>
          <w:rFonts w:ascii="Rockwell" w:hAnsi="Rockwell"/>
          <w:sz w:val="26"/>
          <w:szCs w:val="26"/>
        </w:rPr>
        <w:t xml:space="preserve"> recherche-Formation-Conseil agricole doit être mis en place et le FONRID doit être abondé par le prélèvement sur les produits agricoles d’exportation. Le FONRID doit innover par l’ouverture de guichets spécifiques pour le financement de la recherche de l’enseignement, la recherche et la vulgarisation agricole. </w:t>
      </w:r>
    </w:p>
    <w:p w14:paraId="640C10A6"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Burkina Faso a souscrit aux engagements de Maputo en 2003 d’allouer au moins 10</w:t>
      </w:r>
      <w:r>
        <w:rPr>
          <w:rFonts w:ascii="Rockwell" w:hAnsi="Rockwell"/>
          <w:sz w:val="26"/>
          <w:szCs w:val="26"/>
        </w:rPr>
        <w:t xml:space="preserve"> </w:t>
      </w:r>
      <w:r w:rsidRPr="00B44427">
        <w:rPr>
          <w:rFonts w:ascii="Rockwell" w:hAnsi="Rockwell"/>
          <w:sz w:val="26"/>
          <w:szCs w:val="26"/>
        </w:rPr>
        <w:t>% du budget public annuel à l’agriculture et qu’une croissance minimale de 6</w:t>
      </w:r>
      <w:r>
        <w:rPr>
          <w:rFonts w:ascii="Rockwell" w:hAnsi="Rockwell"/>
          <w:sz w:val="26"/>
          <w:szCs w:val="26"/>
        </w:rPr>
        <w:t xml:space="preserve"> </w:t>
      </w:r>
      <w:r w:rsidRPr="00B44427">
        <w:rPr>
          <w:rFonts w:ascii="Rockwell" w:hAnsi="Rockwell"/>
          <w:sz w:val="26"/>
          <w:szCs w:val="26"/>
        </w:rPr>
        <w:t>% soit atteinte dans le secteur agricole. Les chefs d’Etats se sont ensuite engagés à travers la déclaration de Malabo en 2014 en rehaussant le taux du budget accordé à l’agriculture à 14</w:t>
      </w:r>
      <w:r>
        <w:rPr>
          <w:rFonts w:ascii="Rockwell" w:hAnsi="Rockwell"/>
          <w:sz w:val="26"/>
          <w:szCs w:val="26"/>
        </w:rPr>
        <w:t xml:space="preserve"> </w:t>
      </w:r>
      <w:r w:rsidRPr="00B44427">
        <w:rPr>
          <w:rFonts w:ascii="Rockwell" w:hAnsi="Rockwell"/>
          <w:sz w:val="26"/>
          <w:szCs w:val="26"/>
        </w:rPr>
        <w:t>%. Sur les six dernières années la part des dépenses publiques accordée au secteur agro-sylvo-pastoral est en moyenne de 9,58</w:t>
      </w:r>
      <w:r>
        <w:rPr>
          <w:rFonts w:ascii="Rockwell" w:hAnsi="Rockwell"/>
          <w:sz w:val="26"/>
          <w:szCs w:val="26"/>
        </w:rPr>
        <w:t xml:space="preserve"> </w:t>
      </w:r>
      <w:r w:rsidRPr="00B44427">
        <w:rPr>
          <w:rFonts w:ascii="Rockwell" w:hAnsi="Rockwell"/>
          <w:sz w:val="26"/>
          <w:szCs w:val="26"/>
        </w:rPr>
        <w:t>% par an, ce qui est en deçà des 14</w:t>
      </w:r>
      <w:r>
        <w:rPr>
          <w:rFonts w:ascii="Rockwell" w:hAnsi="Rockwell"/>
          <w:sz w:val="26"/>
          <w:szCs w:val="26"/>
        </w:rPr>
        <w:t xml:space="preserve"> </w:t>
      </w:r>
      <w:r w:rsidRPr="00B44427">
        <w:rPr>
          <w:rFonts w:ascii="Rockwell" w:hAnsi="Rockwell"/>
          <w:sz w:val="26"/>
          <w:szCs w:val="26"/>
        </w:rPr>
        <w:t>% recommandé. La contribution du secteur privé (national et étranger) dans l’agriculture a varié les six dernières années de 17 à 42</w:t>
      </w:r>
      <w:r>
        <w:rPr>
          <w:rFonts w:ascii="Rockwell" w:hAnsi="Rockwell"/>
          <w:sz w:val="26"/>
          <w:szCs w:val="26"/>
        </w:rPr>
        <w:t xml:space="preserve"> </w:t>
      </w:r>
      <w:r w:rsidRPr="00B44427">
        <w:rPr>
          <w:rFonts w:ascii="Rockwell" w:hAnsi="Rockwell"/>
          <w:sz w:val="26"/>
          <w:szCs w:val="26"/>
        </w:rPr>
        <w:t>% des dépenses publiques consacrées à l’agriculture. La contribution des Organisations non gouvernementales/Associations de développement (ONG/AD) et Fondations dans le secteur agro-sylvo-pastoral a été en moyenne par an de 21,35 milliards durant les quatre dernières années. Le Burkina Faso, doit avec l’appui des partenaires techniques et financiers accroitre les investissements dans l’agriculture en continuant à élaborer de nouveaux projets et programmes dont la contribution va permettre l’augmentation de la productivité et la compétitive de l’agriculture.</w:t>
      </w:r>
    </w:p>
    <w:p w14:paraId="3DE7A950" w14:textId="77777777" w:rsidR="005B4857" w:rsidRDefault="005B4857" w:rsidP="005B4857">
      <w:pPr>
        <w:spacing w:after="240" w:line="276" w:lineRule="auto"/>
        <w:jc w:val="both"/>
        <w:rPr>
          <w:rFonts w:ascii="Rockwell" w:hAnsi="Rockwell"/>
          <w:sz w:val="26"/>
          <w:szCs w:val="26"/>
        </w:rPr>
      </w:pPr>
      <w:r w:rsidRPr="00B44427">
        <w:rPr>
          <w:rFonts w:ascii="Rockwell" w:hAnsi="Rockwell"/>
          <w:sz w:val="26"/>
          <w:szCs w:val="26"/>
        </w:rPr>
        <w:t>Les actions ci-dessous proposées sont jugées pertinentes et importantes pour un système alimentaire durable au Burkina Faso en ce sens qu’elles contribueront à garantir à chaque burkinabè la sécurité alimentaire et nutritionnelle sans compromettre les bases économiques, sociales et environnementales nécessaires à la sécurité alimentaire et à la nutrition des générations futures.</w:t>
      </w:r>
    </w:p>
    <w:p w14:paraId="589728F9" w14:textId="77777777" w:rsidR="005B4857" w:rsidRPr="005B4857" w:rsidRDefault="005B4857" w:rsidP="005B4857"/>
    <w:p w14:paraId="14C3283B" w14:textId="088C1312" w:rsidR="005B4857" w:rsidRPr="00885F60" w:rsidRDefault="005B4857" w:rsidP="005B4857">
      <w:pPr>
        <w:pStyle w:val="Lgende"/>
        <w:keepNext/>
        <w:rPr>
          <w:rFonts w:ascii="Rockwell" w:hAnsi="Rockwell"/>
          <w:sz w:val="22"/>
          <w:szCs w:val="22"/>
        </w:rPr>
      </w:pPr>
      <w:r w:rsidRPr="00885F60">
        <w:rPr>
          <w:rFonts w:ascii="Rockwell" w:hAnsi="Rockwell"/>
          <w:sz w:val="22"/>
          <w:szCs w:val="22"/>
        </w:rPr>
        <w:t xml:space="preserve">Tableau </w:t>
      </w:r>
      <w:r w:rsidRPr="00885F60">
        <w:rPr>
          <w:rFonts w:ascii="Rockwell" w:hAnsi="Rockwell"/>
          <w:sz w:val="22"/>
          <w:szCs w:val="22"/>
        </w:rPr>
        <w:fldChar w:fldCharType="begin"/>
      </w:r>
      <w:r w:rsidRPr="00885F60">
        <w:rPr>
          <w:rFonts w:ascii="Rockwell" w:hAnsi="Rockwell"/>
          <w:sz w:val="22"/>
          <w:szCs w:val="22"/>
        </w:rPr>
        <w:instrText xml:space="preserve"> SEQ Tableau \* ARABIC </w:instrText>
      </w:r>
      <w:r w:rsidRPr="00885F60">
        <w:rPr>
          <w:rFonts w:ascii="Rockwell" w:hAnsi="Rockwell"/>
          <w:sz w:val="22"/>
          <w:szCs w:val="22"/>
        </w:rPr>
        <w:fldChar w:fldCharType="separate"/>
      </w:r>
      <w:r w:rsidRPr="00885F60">
        <w:rPr>
          <w:rFonts w:ascii="Rockwell" w:hAnsi="Rockwell"/>
          <w:noProof/>
          <w:sz w:val="22"/>
          <w:szCs w:val="22"/>
        </w:rPr>
        <w:t>1</w:t>
      </w:r>
      <w:r w:rsidRPr="00885F60">
        <w:rPr>
          <w:rFonts w:ascii="Rockwell" w:hAnsi="Rockwell"/>
          <w:sz w:val="22"/>
          <w:szCs w:val="22"/>
        </w:rPr>
        <w:fldChar w:fldCharType="end"/>
      </w:r>
      <w:r w:rsidRPr="00885F60">
        <w:rPr>
          <w:rFonts w:ascii="Rockwell" w:hAnsi="Rockwell"/>
          <w:sz w:val="22"/>
          <w:szCs w:val="22"/>
        </w:rPr>
        <w:t xml:space="preserve">: Tableau récapitulatif des actions </w:t>
      </w:r>
      <w:r w:rsidR="00885F60" w:rsidRPr="00885F60">
        <w:rPr>
          <w:rFonts w:ascii="Rockwell" w:hAnsi="Rockwell"/>
          <w:sz w:val="22"/>
          <w:szCs w:val="22"/>
        </w:rPr>
        <w:t>pour un système alimentaire durable au</w:t>
      </w:r>
      <w:r w:rsidRPr="00885F60">
        <w:rPr>
          <w:rFonts w:ascii="Rockwell" w:hAnsi="Rockwell"/>
          <w:sz w:val="22"/>
          <w:szCs w:val="22"/>
        </w:rPr>
        <w:t xml:space="preserve"> Burkina Faso</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024"/>
        <w:gridCol w:w="1616"/>
        <w:gridCol w:w="2167"/>
        <w:gridCol w:w="2752"/>
      </w:tblGrid>
      <w:tr w:rsidR="00053CB8" w:rsidRPr="00E025E3" w14:paraId="55BD886B" w14:textId="77777777" w:rsidTr="005B4857">
        <w:trPr>
          <w:trHeight w:val="1664"/>
          <w:tblHeader/>
        </w:trPr>
        <w:tc>
          <w:tcPr>
            <w:tcW w:w="1905" w:type="pct"/>
            <w:shd w:val="clear" w:color="auto" w:fill="BFBFBF"/>
          </w:tcPr>
          <w:p w14:paraId="09AFAE5F" w14:textId="1C6DC761" w:rsidR="00053CB8" w:rsidRPr="00E174C6" w:rsidRDefault="00053CB8" w:rsidP="002D7B00">
            <w:pPr>
              <w:spacing w:line="276" w:lineRule="auto"/>
              <w:rPr>
                <w:rFonts w:ascii="Times New Roman" w:hAnsi="Times New Roman"/>
                <w:b/>
                <w:bCs/>
                <w:sz w:val="24"/>
                <w:szCs w:val="24"/>
              </w:rPr>
            </w:pPr>
            <w:r>
              <w:rPr>
                <w:rFonts w:ascii="Times New Roman" w:hAnsi="Times New Roman"/>
                <w:b/>
                <w:bCs/>
                <w:sz w:val="24"/>
                <w:szCs w:val="24"/>
              </w:rPr>
              <w:t>Action</w:t>
            </w:r>
            <w:r w:rsidR="002D7B00">
              <w:rPr>
                <w:rFonts w:ascii="Times New Roman" w:hAnsi="Times New Roman"/>
                <w:b/>
                <w:bCs/>
                <w:sz w:val="24"/>
                <w:szCs w:val="24"/>
              </w:rPr>
              <w:t>s</w:t>
            </w:r>
            <w:r>
              <w:rPr>
                <w:rFonts w:ascii="Times New Roman" w:hAnsi="Times New Roman"/>
                <w:b/>
                <w:bCs/>
                <w:sz w:val="24"/>
                <w:szCs w:val="24"/>
              </w:rPr>
              <w:t xml:space="preserve"> stratégique</w:t>
            </w:r>
            <w:r w:rsidR="002D7B00">
              <w:rPr>
                <w:rFonts w:ascii="Times New Roman" w:hAnsi="Times New Roman"/>
                <w:b/>
                <w:bCs/>
                <w:sz w:val="24"/>
                <w:szCs w:val="24"/>
              </w:rPr>
              <w:t>s</w:t>
            </w:r>
            <w:r w:rsidRPr="00E174C6">
              <w:rPr>
                <w:rFonts w:ascii="Times New Roman" w:hAnsi="Times New Roman"/>
                <w:b/>
                <w:bCs/>
                <w:sz w:val="24"/>
                <w:szCs w:val="24"/>
              </w:rPr>
              <w:t>/opérationnelle</w:t>
            </w:r>
            <w:r w:rsidR="002D7B00">
              <w:rPr>
                <w:rFonts w:ascii="Times New Roman" w:hAnsi="Times New Roman"/>
                <w:b/>
                <w:bCs/>
                <w:sz w:val="24"/>
                <w:szCs w:val="24"/>
              </w:rPr>
              <w:t>s</w:t>
            </w:r>
            <w:r w:rsidRPr="00E174C6">
              <w:rPr>
                <w:rFonts w:ascii="Times New Roman" w:hAnsi="Times New Roman"/>
                <w:b/>
                <w:bCs/>
                <w:sz w:val="24"/>
                <w:szCs w:val="24"/>
              </w:rPr>
              <w:t xml:space="preserve"> proposée</w:t>
            </w:r>
            <w:r w:rsidR="002D7B00">
              <w:rPr>
                <w:rFonts w:ascii="Times New Roman" w:hAnsi="Times New Roman"/>
                <w:b/>
                <w:bCs/>
                <w:sz w:val="24"/>
                <w:szCs w:val="24"/>
              </w:rPr>
              <w:t>s</w:t>
            </w:r>
          </w:p>
        </w:tc>
        <w:tc>
          <w:tcPr>
            <w:tcW w:w="765" w:type="pct"/>
            <w:shd w:val="clear" w:color="auto" w:fill="BFBFBF"/>
            <w:tcMar>
              <w:top w:w="0" w:type="dxa"/>
              <w:left w:w="108" w:type="dxa"/>
              <w:bottom w:w="0" w:type="dxa"/>
              <w:right w:w="108" w:type="dxa"/>
            </w:tcMar>
          </w:tcPr>
          <w:p w14:paraId="33C1229E" w14:textId="77777777" w:rsidR="00053CB8" w:rsidRPr="00E174C6" w:rsidRDefault="00053CB8" w:rsidP="00885F60">
            <w:pPr>
              <w:spacing w:line="276" w:lineRule="auto"/>
              <w:jc w:val="both"/>
              <w:rPr>
                <w:rFonts w:ascii="Times New Roman" w:hAnsi="Times New Roman"/>
                <w:b/>
                <w:bCs/>
                <w:sz w:val="24"/>
                <w:szCs w:val="24"/>
              </w:rPr>
            </w:pPr>
            <w:r w:rsidRPr="00E174C6">
              <w:rPr>
                <w:rFonts w:ascii="Times New Roman" w:hAnsi="Times New Roman"/>
                <w:b/>
                <w:bCs/>
                <w:sz w:val="24"/>
                <w:szCs w:val="24"/>
              </w:rPr>
              <w:t>Horizon temporel de mise en œuvre (CT, MT, LT)</w:t>
            </w:r>
          </w:p>
        </w:tc>
        <w:tc>
          <w:tcPr>
            <w:tcW w:w="1026" w:type="pct"/>
            <w:shd w:val="clear" w:color="auto" w:fill="BFBFBF"/>
            <w:tcMar>
              <w:top w:w="0" w:type="dxa"/>
              <w:left w:w="108" w:type="dxa"/>
              <w:bottom w:w="0" w:type="dxa"/>
              <w:right w:w="108" w:type="dxa"/>
            </w:tcMar>
          </w:tcPr>
          <w:p w14:paraId="1359D268" w14:textId="77777777" w:rsidR="00053CB8" w:rsidRPr="00E174C6" w:rsidRDefault="00053CB8" w:rsidP="00885F60">
            <w:pPr>
              <w:spacing w:line="276" w:lineRule="auto"/>
              <w:jc w:val="both"/>
              <w:rPr>
                <w:rFonts w:ascii="Times New Roman" w:hAnsi="Times New Roman"/>
                <w:b/>
                <w:bCs/>
                <w:sz w:val="24"/>
                <w:szCs w:val="24"/>
              </w:rPr>
            </w:pPr>
            <w:r>
              <w:rPr>
                <w:rFonts w:ascii="Times New Roman" w:hAnsi="Times New Roman"/>
                <w:b/>
                <w:bCs/>
                <w:sz w:val="24"/>
                <w:szCs w:val="24"/>
              </w:rPr>
              <w:t xml:space="preserve">Structures responsable </w:t>
            </w:r>
            <w:r w:rsidRPr="00E174C6">
              <w:rPr>
                <w:rFonts w:ascii="Times New Roman" w:hAnsi="Times New Roman"/>
                <w:b/>
                <w:bCs/>
                <w:sz w:val="24"/>
                <w:szCs w:val="24"/>
              </w:rPr>
              <w:t>de la mise en œuvre</w:t>
            </w:r>
          </w:p>
        </w:tc>
        <w:tc>
          <w:tcPr>
            <w:tcW w:w="1303" w:type="pct"/>
            <w:shd w:val="clear" w:color="auto" w:fill="BFBFBF"/>
            <w:tcMar>
              <w:top w:w="0" w:type="dxa"/>
              <w:left w:w="108" w:type="dxa"/>
              <w:bottom w:w="0" w:type="dxa"/>
              <w:right w:w="108" w:type="dxa"/>
            </w:tcMar>
          </w:tcPr>
          <w:p w14:paraId="77E98C6F" w14:textId="77777777" w:rsidR="00053CB8" w:rsidRPr="00E174C6" w:rsidRDefault="00053CB8" w:rsidP="00885F60">
            <w:pPr>
              <w:spacing w:line="276" w:lineRule="auto"/>
              <w:jc w:val="both"/>
              <w:rPr>
                <w:rFonts w:ascii="Times New Roman" w:hAnsi="Times New Roman"/>
                <w:b/>
                <w:bCs/>
                <w:sz w:val="24"/>
                <w:szCs w:val="24"/>
              </w:rPr>
            </w:pPr>
            <w:r w:rsidRPr="00E174C6">
              <w:rPr>
                <w:rFonts w:ascii="Times New Roman" w:hAnsi="Times New Roman"/>
                <w:b/>
                <w:bCs/>
                <w:sz w:val="24"/>
                <w:szCs w:val="24"/>
              </w:rPr>
              <w:t>Structures partenaires de mise en œuvre</w:t>
            </w:r>
          </w:p>
        </w:tc>
      </w:tr>
      <w:tr w:rsidR="00053CB8" w:rsidRPr="00E025E3" w14:paraId="08D572E1" w14:textId="77777777" w:rsidTr="005B4857">
        <w:trPr>
          <w:trHeight w:val="1009"/>
        </w:trPr>
        <w:tc>
          <w:tcPr>
            <w:tcW w:w="1905" w:type="pct"/>
            <w:vAlign w:val="center"/>
          </w:tcPr>
          <w:p w14:paraId="632741B8"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productivité et de la diversification du secteur ASPHF</w:t>
            </w:r>
          </w:p>
        </w:tc>
        <w:tc>
          <w:tcPr>
            <w:tcW w:w="765" w:type="pct"/>
            <w:shd w:val="clear" w:color="auto" w:fill="auto"/>
            <w:tcMar>
              <w:top w:w="0" w:type="dxa"/>
              <w:left w:w="108" w:type="dxa"/>
              <w:bottom w:w="0" w:type="dxa"/>
              <w:right w:w="108" w:type="dxa"/>
            </w:tcMar>
            <w:vAlign w:val="center"/>
          </w:tcPr>
          <w:p w14:paraId="7411094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4C9EF0E4"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088C48E7"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ONG, AD, BSPP </w:t>
            </w:r>
          </w:p>
        </w:tc>
      </w:tr>
      <w:tr w:rsidR="00053CB8" w:rsidRPr="00E025E3" w14:paraId="39987A60" w14:textId="77777777" w:rsidTr="005B4857">
        <w:tc>
          <w:tcPr>
            <w:tcW w:w="1905" w:type="pct"/>
            <w:vAlign w:val="center"/>
          </w:tcPr>
          <w:p w14:paraId="7FA4D49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Allocation de 1</w:t>
            </w:r>
            <w:r>
              <w:rPr>
                <w:rFonts w:ascii="Times New Roman" w:hAnsi="Times New Roman"/>
                <w:sz w:val="24"/>
                <w:szCs w:val="24"/>
              </w:rPr>
              <w:t>4</w:t>
            </w:r>
            <w:r w:rsidRPr="00E174C6">
              <w:rPr>
                <w:rFonts w:ascii="Times New Roman" w:hAnsi="Times New Roman"/>
                <w:sz w:val="24"/>
                <w:szCs w:val="24"/>
              </w:rPr>
              <w:t>% du budget national en investissements directs dans le secteur ASPHF</w:t>
            </w:r>
          </w:p>
        </w:tc>
        <w:tc>
          <w:tcPr>
            <w:tcW w:w="765" w:type="pct"/>
            <w:shd w:val="clear" w:color="auto" w:fill="auto"/>
            <w:tcMar>
              <w:top w:w="0" w:type="dxa"/>
              <w:left w:w="108" w:type="dxa"/>
              <w:bottom w:w="0" w:type="dxa"/>
              <w:right w:w="108" w:type="dxa"/>
            </w:tcMar>
            <w:vAlign w:val="center"/>
          </w:tcPr>
          <w:p w14:paraId="717D71A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747F4114"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MINEFID</w:t>
            </w:r>
          </w:p>
        </w:tc>
        <w:tc>
          <w:tcPr>
            <w:tcW w:w="1303" w:type="pct"/>
            <w:shd w:val="clear" w:color="auto" w:fill="auto"/>
            <w:tcMar>
              <w:top w:w="0" w:type="dxa"/>
              <w:left w:w="108" w:type="dxa"/>
              <w:bottom w:w="0" w:type="dxa"/>
              <w:right w:w="108" w:type="dxa"/>
            </w:tcMar>
            <w:vAlign w:val="center"/>
          </w:tcPr>
          <w:p w14:paraId="50F09BDE" w14:textId="77777777" w:rsidR="00053CB8" w:rsidRPr="00CD4E0F" w:rsidRDefault="00053CB8" w:rsidP="00885F60">
            <w:pPr>
              <w:spacing w:line="276" w:lineRule="auto"/>
              <w:rPr>
                <w:rFonts w:ascii="Times New Roman" w:hAnsi="Times New Roman"/>
                <w:sz w:val="24"/>
                <w:szCs w:val="24"/>
              </w:rPr>
            </w:pPr>
            <w:r w:rsidRPr="00CD4E0F">
              <w:rPr>
                <w:rFonts w:ascii="Times New Roman" w:hAnsi="Times New Roman"/>
                <w:sz w:val="24"/>
                <w:szCs w:val="24"/>
              </w:rPr>
              <w:t xml:space="preserve">Ministères du développement rural, </w:t>
            </w:r>
            <w:r>
              <w:rPr>
                <w:rFonts w:ascii="Times New Roman" w:hAnsi="Times New Roman"/>
                <w:sz w:val="24"/>
                <w:szCs w:val="24"/>
              </w:rPr>
              <w:t>BSPP</w:t>
            </w:r>
          </w:p>
        </w:tc>
      </w:tr>
      <w:tr w:rsidR="00053CB8" w:rsidRPr="00E025E3" w14:paraId="6C8C11A2" w14:textId="77777777" w:rsidTr="005B4857">
        <w:tc>
          <w:tcPr>
            <w:tcW w:w="1905" w:type="pct"/>
            <w:vAlign w:val="center"/>
          </w:tcPr>
          <w:p w14:paraId="299B8FD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Amélioration de la sécurisation foncière rurale </w:t>
            </w:r>
          </w:p>
        </w:tc>
        <w:tc>
          <w:tcPr>
            <w:tcW w:w="765" w:type="pct"/>
            <w:shd w:val="clear" w:color="auto" w:fill="auto"/>
            <w:tcMar>
              <w:top w:w="0" w:type="dxa"/>
              <w:left w:w="108" w:type="dxa"/>
              <w:bottom w:w="0" w:type="dxa"/>
              <w:right w:w="108" w:type="dxa"/>
            </w:tcMar>
            <w:vAlign w:val="center"/>
          </w:tcPr>
          <w:p w14:paraId="4FE9F236"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5CFDE9EA" w14:textId="77777777" w:rsidR="00053CB8" w:rsidRPr="00E174C6" w:rsidDel="003F2E64"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1403B038" w14:textId="77777777" w:rsidR="00053CB8" w:rsidRPr="00E174C6" w:rsidRDefault="00053CB8" w:rsidP="00885F60">
            <w:pPr>
              <w:spacing w:line="276" w:lineRule="auto"/>
              <w:rPr>
                <w:rFonts w:ascii="Times New Roman" w:hAnsi="Times New Roman"/>
                <w:sz w:val="24"/>
                <w:szCs w:val="24"/>
                <w:lang w:val="en-US"/>
              </w:rPr>
            </w:pPr>
            <w:r>
              <w:rPr>
                <w:rFonts w:ascii="Times New Roman" w:hAnsi="Times New Roman"/>
                <w:sz w:val="24"/>
                <w:szCs w:val="24"/>
                <w:lang w:val="en-US"/>
              </w:rPr>
              <w:t xml:space="preserve">MINEFID, MATD, </w:t>
            </w:r>
            <w:r>
              <w:rPr>
                <w:rFonts w:ascii="Times New Roman" w:hAnsi="Times New Roman"/>
                <w:sz w:val="24"/>
                <w:szCs w:val="24"/>
              </w:rPr>
              <w:t>BSPP</w:t>
            </w:r>
          </w:p>
        </w:tc>
      </w:tr>
      <w:tr w:rsidR="00053CB8" w:rsidRPr="00E025E3" w14:paraId="6319F75D" w14:textId="77777777" w:rsidTr="005B4857">
        <w:tc>
          <w:tcPr>
            <w:tcW w:w="1905" w:type="pct"/>
            <w:vAlign w:val="center"/>
          </w:tcPr>
          <w:p w14:paraId="548D6405"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Mobilisation, protection et gestion intégrée des ressources en eau (souterraine et de s</w:t>
            </w:r>
            <w:r>
              <w:rPr>
                <w:rFonts w:ascii="Times New Roman" w:hAnsi="Times New Roman"/>
                <w:sz w:val="24"/>
                <w:szCs w:val="24"/>
              </w:rPr>
              <w:t xml:space="preserve">urface) en quantité suffisante </w:t>
            </w:r>
          </w:p>
        </w:tc>
        <w:tc>
          <w:tcPr>
            <w:tcW w:w="765" w:type="pct"/>
            <w:shd w:val="clear" w:color="auto" w:fill="auto"/>
            <w:tcMar>
              <w:top w:w="0" w:type="dxa"/>
              <w:left w:w="108" w:type="dxa"/>
              <w:bottom w:w="0" w:type="dxa"/>
              <w:right w:w="108" w:type="dxa"/>
            </w:tcMar>
            <w:vAlign w:val="center"/>
          </w:tcPr>
          <w:p w14:paraId="4F42EA82"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552B5D22"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7BA0CE5E"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Comité de l’eau, BSPP</w:t>
            </w:r>
          </w:p>
        </w:tc>
      </w:tr>
      <w:tr w:rsidR="00053CB8" w:rsidRPr="00730622" w14:paraId="21A0CA18" w14:textId="77777777" w:rsidTr="005B4857">
        <w:tc>
          <w:tcPr>
            <w:tcW w:w="1905" w:type="pct"/>
            <w:vAlign w:val="center"/>
          </w:tcPr>
          <w:p w14:paraId="76339781"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 xml:space="preserve">Amélioration du disponible </w:t>
            </w:r>
            <w:r w:rsidRPr="00E174C6">
              <w:rPr>
                <w:rFonts w:ascii="Times New Roman" w:hAnsi="Times New Roman"/>
                <w:sz w:val="24"/>
                <w:szCs w:val="24"/>
              </w:rPr>
              <w:t xml:space="preserve">fourrager et </w:t>
            </w:r>
            <w:r>
              <w:rPr>
                <w:rFonts w:ascii="Times New Roman" w:hAnsi="Times New Roman"/>
                <w:sz w:val="24"/>
                <w:szCs w:val="24"/>
              </w:rPr>
              <w:t xml:space="preserve">des points d’eau d’abreuvement </w:t>
            </w:r>
            <w:r w:rsidRPr="00E174C6">
              <w:rPr>
                <w:rFonts w:ascii="Times New Roman" w:hAnsi="Times New Roman"/>
                <w:sz w:val="24"/>
                <w:szCs w:val="24"/>
              </w:rPr>
              <w:t xml:space="preserve"> (installation d’unité de production d’aliment pour bétail et volaille, de points d’eau d’abreuvement, promotion des cultures fourragères) </w:t>
            </w:r>
          </w:p>
        </w:tc>
        <w:tc>
          <w:tcPr>
            <w:tcW w:w="765" w:type="pct"/>
            <w:shd w:val="clear" w:color="auto" w:fill="auto"/>
            <w:tcMar>
              <w:top w:w="0" w:type="dxa"/>
              <w:left w:w="108" w:type="dxa"/>
              <w:bottom w:w="0" w:type="dxa"/>
              <w:right w:w="108" w:type="dxa"/>
            </w:tcMar>
            <w:vAlign w:val="center"/>
          </w:tcPr>
          <w:p w14:paraId="34481F35"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4DE20B18"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MRAH</w:t>
            </w:r>
          </w:p>
        </w:tc>
        <w:tc>
          <w:tcPr>
            <w:tcW w:w="1303" w:type="pct"/>
            <w:shd w:val="clear" w:color="auto" w:fill="auto"/>
            <w:tcMar>
              <w:top w:w="0" w:type="dxa"/>
              <w:left w:w="108" w:type="dxa"/>
              <w:bottom w:w="0" w:type="dxa"/>
              <w:right w:w="108" w:type="dxa"/>
            </w:tcMar>
            <w:vAlign w:val="center"/>
          </w:tcPr>
          <w:p w14:paraId="73D08590"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PTF, ONGs, OPA, BSPP</w:t>
            </w:r>
          </w:p>
        </w:tc>
      </w:tr>
      <w:tr w:rsidR="00053CB8" w:rsidRPr="00E025E3" w14:paraId="30028FD2" w14:textId="77777777" w:rsidTr="005B4857">
        <w:tc>
          <w:tcPr>
            <w:tcW w:w="1905" w:type="pct"/>
            <w:vAlign w:val="center"/>
          </w:tcPr>
          <w:p w14:paraId="3075BA0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Valorisation du potentiel génétique des races locales</w:t>
            </w:r>
          </w:p>
        </w:tc>
        <w:tc>
          <w:tcPr>
            <w:tcW w:w="765" w:type="pct"/>
            <w:shd w:val="clear" w:color="auto" w:fill="auto"/>
            <w:tcMar>
              <w:top w:w="0" w:type="dxa"/>
              <w:left w:w="108" w:type="dxa"/>
              <w:bottom w:w="0" w:type="dxa"/>
              <w:right w:w="108" w:type="dxa"/>
            </w:tcMar>
            <w:vAlign w:val="center"/>
          </w:tcPr>
          <w:p w14:paraId="2F6EB16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449896DB"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MRAH</w:t>
            </w:r>
          </w:p>
        </w:tc>
        <w:tc>
          <w:tcPr>
            <w:tcW w:w="1303" w:type="pct"/>
            <w:shd w:val="clear" w:color="auto" w:fill="auto"/>
            <w:tcMar>
              <w:top w:w="0" w:type="dxa"/>
              <w:left w:w="108" w:type="dxa"/>
              <w:bottom w:w="0" w:type="dxa"/>
              <w:right w:w="108" w:type="dxa"/>
            </w:tcMar>
            <w:vAlign w:val="center"/>
          </w:tcPr>
          <w:p w14:paraId="2CE0329E"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MESRSI, BSPP</w:t>
            </w:r>
          </w:p>
        </w:tc>
      </w:tr>
      <w:tr w:rsidR="00053CB8" w:rsidRPr="00E025E3" w14:paraId="0A96B019" w14:textId="77777777" w:rsidTr="005B4857">
        <w:tc>
          <w:tcPr>
            <w:tcW w:w="1905" w:type="pct"/>
            <w:vAlign w:val="center"/>
          </w:tcPr>
          <w:p w14:paraId="6D543C8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disponibilité des produits ASPHF</w:t>
            </w:r>
            <w:r w:rsidRPr="00E174C6">
              <w:rPr>
                <w:rFonts w:ascii="Times New Roman" w:hAnsi="Times New Roman"/>
                <w:color w:val="00B050"/>
                <w:sz w:val="24"/>
                <w:szCs w:val="24"/>
              </w:rPr>
              <w:t xml:space="preserve"> </w:t>
            </w:r>
          </w:p>
        </w:tc>
        <w:tc>
          <w:tcPr>
            <w:tcW w:w="765" w:type="pct"/>
            <w:shd w:val="clear" w:color="auto" w:fill="auto"/>
            <w:tcMar>
              <w:top w:w="0" w:type="dxa"/>
              <w:left w:w="108" w:type="dxa"/>
              <w:bottom w:w="0" w:type="dxa"/>
              <w:right w:w="108" w:type="dxa"/>
            </w:tcMar>
            <w:vAlign w:val="center"/>
          </w:tcPr>
          <w:p w14:paraId="53A24388"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13059F70"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59C235CC"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72CD800A" w14:textId="77777777" w:rsidTr="005B4857">
        <w:tc>
          <w:tcPr>
            <w:tcW w:w="1905" w:type="pct"/>
            <w:vAlign w:val="center"/>
          </w:tcPr>
          <w:p w14:paraId="51EE728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Promotion de </w:t>
            </w:r>
            <w:r>
              <w:rPr>
                <w:rFonts w:ascii="Times New Roman" w:hAnsi="Times New Roman"/>
                <w:sz w:val="24"/>
                <w:szCs w:val="24"/>
              </w:rPr>
              <w:t xml:space="preserve">l’agro-écologie et de </w:t>
            </w:r>
            <w:r w:rsidRPr="00E174C6">
              <w:rPr>
                <w:rFonts w:ascii="Times New Roman" w:hAnsi="Times New Roman"/>
                <w:sz w:val="24"/>
                <w:szCs w:val="24"/>
              </w:rPr>
              <w:t xml:space="preserve">l’agroforesterie et la mise en place de jardins nutritifs pour une diversification climato-intelligente </w:t>
            </w:r>
          </w:p>
        </w:tc>
        <w:tc>
          <w:tcPr>
            <w:tcW w:w="765" w:type="pct"/>
            <w:shd w:val="clear" w:color="auto" w:fill="auto"/>
            <w:tcMar>
              <w:top w:w="0" w:type="dxa"/>
              <w:left w:w="108" w:type="dxa"/>
              <w:bottom w:w="0" w:type="dxa"/>
              <w:right w:w="108" w:type="dxa"/>
            </w:tcMar>
            <w:vAlign w:val="center"/>
          </w:tcPr>
          <w:p w14:paraId="43AC1E13"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3D0A9CDD"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5B309B9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11A18DB6" w14:textId="77777777" w:rsidTr="005B4857">
        <w:tc>
          <w:tcPr>
            <w:tcW w:w="1905" w:type="pct"/>
            <w:vAlign w:val="center"/>
          </w:tcPr>
          <w:p w14:paraId="50B5E276" w14:textId="77777777" w:rsidR="00053CB8" w:rsidRPr="00E174C6" w:rsidRDefault="00053CB8" w:rsidP="00885F60">
            <w:pPr>
              <w:spacing w:line="276" w:lineRule="auto"/>
              <w:jc w:val="both"/>
              <w:rPr>
                <w:rFonts w:ascii="Times New Roman" w:hAnsi="Times New Roman"/>
                <w:sz w:val="24"/>
                <w:szCs w:val="24"/>
                <w:highlight w:val="magenta"/>
              </w:rPr>
            </w:pPr>
            <w:r w:rsidRPr="00E174C6">
              <w:rPr>
                <w:rFonts w:ascii="Times New Roman" w:hAnsi="Times New Roman"/>
                <w:sz w:val="24"/>
                <w:szCs w:val="24"/>
              </w:rPr>
              <w:t xml:space="preserve">Renforcement de la conservation </w:t>
            </w:r>
            <w:r>
              <w:rPr>
                <w:rFonts w:ascii="Times New Roman" w:hAnsi="Times New Roman"/>
                <w:sz w:val="24"/>
                <w:szCs w:val="24"/>
              </w:rPr>
              <w:t xml:space="preserve">des terres </w:t>
            </w:r>
            <w:r w:rsidRPr="00E174C6">
              <w:rPr>
                <w:rFonts w:ascii="Times New Roman" w:hAnsi="Times New Roman"/>
                <w:sz w:val="24"/>
                <w:szCs w:val="24"/>
              </w:rPr>
              <w:t>et la restauration de</w:t>
            </w:r>
            <w:r>
              <w:rPr>
                <w:rFonts w:ascii="Times New Roman" w:hAnsi="Times New Roman"/>
                <w:sz w:val="24"/>
                <w:szCs w:val="24"/>
              </w:rPr>
              <w:t xml:space="preserve"> celle</w:t>
            </w:r>
            <w:r w:rsidRPr="00E174C6">
              <w:rPr>
                <w:rFonts w:ascii="Times New Roman" w:hAnsi="Times New Roman"/>
                <w:sz w:val="24"/>
                <w:szCs w:val="24"/>
              </w:rPr>
              <w:t>s dégradées</w:t>
            </w:r>
          </w:p>
        </w:tc>
        <w:tc>
          <w:tcPr>
            <w:tcW w:w="765" w:type="pct"/>
            <w:shd w:val="clear" w:color="auto" w:fill="auto"/>
            <w:tcMar>
              <w:top w:w="0" w:type="dxa"/>
              <w:left w:w="108" w:type="dxa"/>
              <w:bottom w:w="0" w:type="dxa"/>
              <w:right w:w="108" w:type="dxa"/>
            </w:tcMar>
            <w:vAlign w:val="center"/>
          </w:tcPr>
          <w:p w14:paraId="6CBDB92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457624A1" w14:textId="77777777" w:rsidR="00053CB8" w:rsidRPr="00E174C6" w:rsidRDefault="00053CB8" w:rsidP="00885F60">
            <w:pPr>
              <w:spacing w:line="276" w:lineRule="auto"/>
              <w:jc w:val="center"/>
              <w:rPr>
                <w:rFonts w:ascii="Times New Roman" w:hAnsi="Times New Roman"/>
                <w:sz w:val="24"/>
                <w:szCs w:val="24"/>
                <w:highlight w:val="magenta"/>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0680556" w14:textId="77777777" w:rsidR="00053CB8" w:rsidRPr="00E174C6" w:rsidDel="0051496D" w:rsidRDefault="00053CB8" w:rsidP="00885F60">
            <w:pPr>
              <w:spacing w:line="276" w:lineRule="auto"/>
              <w:rPr>
                <w:rFonts w:ascii="Times New Roman" w:hAnsi="Times New Roman"/>
                <w:sz w:val="24"/>
                <w:szCs w:val="24"/>
                <w:highlight w:val="magenta"/>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518A9C10" w14:textId="77777777" w:rsidTr="005B4857">
        <w:trPr>
          <w:trHeight w:val="603"/>
        </w:trPr>
        <w:tc>
          <w:tcPr>
            <w:tcW w:w="1905" w:type="pct"/>
            <w:vAlign w:val="center"/>
          </w:tcPr>
          <w:p w14:paraId="7DC62DF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transformation des produits ASPHF</w:t>
            </w:r>
          </w:p>
        </w:tc>
        <w:tc>
          <w:tcPr>
            <w:tcW w:w="765" w:type="pct"/>
            <w:shd w:val="clear" w:color="auto" w:fill="auto"/>
            <w:tcMar>
              <w:top w:w="0" w:type="dxa"/>
              <w:left w:w="108" w:type="dxa"/>
              <w:bottom w:w="0" w:type="dxa"/>
              <w:right w:w="108" w:type="dxa"/>
            </w:tcMar>
            <w:vAlign w:val="center"/>
          </w:tcPr>
          <w:p w14:paraId="36DD8AE9"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6C26D8FE" w14:textId="77777777" w:rsidR="00053CB8" w:rsidRPr="00E174C6" w:rsidRDefault="00053CB8" w:rsidP="00885F60">
            <w:pPr>
              <w:spacing w:line="276" w:lineRule="auto"/>
              <w:jc w:val="center"/>
              <w:rPr>
                <w:rFonts w:ascii="Times New Roman" w:hAnsi="Times New Roman"/>
                <w:sz w:val="24"/>
                <w:szCs w:val="24"/>
                <w:highlight w:val="magenta"/>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295F8C00" w14:textId="77777777" w:rsidR="00053CB8" w:rsidRPr="00E174C6" w:rsidDel="0051496D" w:rsidRDefault="00053CB8" w:rsidP="00885F60">
            <w:pPr>
              <w:spacing w:line="276" w:lineRule="auto"/>
              <w:rPr>
                <w:rFonts w:ascii="Times New Roman" w:hAnsi="Times New Roman"/>
                <w:sz w:val="24"/>
                <w:szCs w:val="24"/>
                <w:highlight w:val="magenta"/>
              </w:rPr>
            </w:pPr>
            <w:r>
              <w:rPr>
                <w:rFonts w:ascii="Times New Roman" w:hAnsi="Times New Roman"/>
                <w:sz w:val="24"/>
                <w:szCs w:val="24"/>
              </w:rPr>
              <w:t xml:space="preserve">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1E08493C" w14:textId="77777777" w:rsidTr="005B4857">
        <w:tc>
          <w:tcPr>
            <w:tcW w:w="1905" w:type="pct"/>
            <w:vAlign w:val="center"/>
          </w:tcPr>
          <w:p w14:paraId="4D91F74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structures</w:t>
            </w:r>
            <w:r>
              <w:rPr>
                <w:rFonts w:ascii="Times New Roman" w:hAnsi="Times New Roman"/>
                <w:sz w:val="24"/>
                <w:szCs w:val="24"/>
              </w:rPr>
              <w:t xml:space="preserve"> de contrôle et</w:t>
            </w:r>
            <w:r w:rsidRPr="00E174C6">
              <w:rPr>
                <w:rFonts w:ascii="Times New Roman" w:hAnsi="Times New Roman"/>
                <w:sz w:val="24"/>
                <w:szCs w:val="24"/>
              </w:rPr>
              <w:t xml:space="preserve"> d’analyse</w:t>
            </w:r>
            <w:r>
              <w:rPr>
                <w:rFonts w:ascii="Times New Roman" w:hAnsi="Times New Roman"/>
                <w:sz w:val="24"/>
                <w:szCs w:val="24"/>
              </w:rPr>
              <w:t xml:space="preserve"> de la</w:t>
            </w:r>
            <w:r w:rsidRPr="00E174C6">
              <w:rPr>
                <w:rFonts w:ascii="Times New Roman" w:hAnsi="Times New Roman"/>
                <w:sz w:val="24"/>
                <w:szCs w:val="24"/>
              </w:rPr>
              <w:t xml:space="preserve"> qualité </w:t>
            </w:r>
          </w:p>
        </w:tc>
        <w:tc>
          <w:tcPr>
            <w:tcW w:w="765" w:type="pct"/>
            <w:shd w:val="clear" w:color="auto" w:fill="auto"/>
            <w:tcMar>
              <w:top w:w="0" w:type="dxa"/>
              <w:left w:w="108" w:type="dxa"/>
              <w:bottom w:w="0" w:type="dxa"/>
              <w:right w:w="108" w:type="dxa"/>
            </w:tcMar>
            <w:vAlign w:val="center"/>
          </w:tcPr>
          <w:p w14:paraId="73C7C34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19BFB0C"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67FADD4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MS, Ministères du développement rural, OSC, BSPP </w:t>
            </w:r>
          </w:p>
        </w:tc>
      </w:tr>
      <w:tr w:rsidR="00053CB8" w:rsidRPr="00730622" w14:paraId="74CB5AE8" w14:textId="77777777" w:rsidTr="005B4857">
        <w:tc>
          <w:tcPr>
            <w:tcW w:w="1905" w:type="pct"/>
            <w:vAlign w:val="center"/>
          </w:tcPr>
          <w:p w14:paraId="3EEE451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Promotion des entreprises forestières villageoises autour des massifs forestiers</w:t>
            </w:r>
          </w:p>
        </w:tc>
        <w:tc>
          <w:tcPr>
            <w:tcW w:w="765" w:type="pct"/>
            <w:shd w:val="clear" w:color="auto" w:fill="auto"/>
            <w:tcMar>
              <w:top w:w="0" w:type="dxa"/>
              <w:left w:w="108" w:type="dxa"/>
              <w:bottom w:w="0" w:type="dxa"/>
              <w:right w:w="108" w:type="dxa"/>
            </w:tcMar>
            <w:vAlign w:val="center"/>
          </w:tcPr>
          <w:p w14:paraId="55DE137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439EBE30"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MEEVCC</w:t>
            </w:r>
          </w:p>
        </w:tc>
        <w:tc>
          <w:tcPr>
            <w:tcW w:w="1303" w:type="pct"/>
            <w:shd w:val="clear" w:color="auto" w:fill="auto"/>
            <w:tcMar>
              <w:top w:w="0" w:type="dxa"/>
              <w:left w:w="108" w:type="dxa"/>
              <w:bottom w:w="0" w:type="dxa"/>
              <w:right w:w="108" w:type="dxa"/>
            </w:tcMar>
            <w:vAlign w:val="center"/>
          </w:tcPr>
          <w:p w14:paraId="3BF3031E"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MATD, PTF, ONGs, OPA, BSPP</w:t>
            </w:r>
          </w:p>
        </w:tc>
      </w:tr>
      <w:tr w:rsidR="00053CB8" w:rsidRPr="00E025E3" w14:paraId="342A8B10" w14:textId="77777777" w:rsidTr="005B4857">
        <w:tc>
          <w:tcPr>
            <w:tcW w:w="1905" w:type="pct"/>
            <w:vAlign w:val="center"/>
          </w:tcPr>
          <w:p w14:paraId="386B5B4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Promotion de la certification</w:t>
            </w:r>
            <w:r>
              <w:rPr>
                <w:rFonts w:ascii="Times New Roman" w:hAnsi="Times New Roman"/>
                <w:sz w:val="24"/>
                <w:szCs w:val="24"/>
              </w:rPr>
              <w:t xml:space="preserve"> et de la labellisation</w:t>
            </w:r>
            <w:r w:rsidRPr="00E174C6">
              <w:rPr>
                <w:rFonts w:ascii="Times New Roman" w:hAnsi="Times New Roman"/>
                <w:sz w:val="24"/>
                <w:szCs w:val="24"/>
              </w:rPr>
              <w:t xml:space="preserve"> des produits ASPHF aux normes de qualité</w:t>
            </w:r>
          </w:p>
        </w:tc>
        <w:tc>
          <w:tcPr>
            <w:tcW w:w="765" w:type="pct"/>
            <w:shd w:val="clear" w:color="auto" w:fill="auto"/>
            <w:tcMar>
              <w:top w:w="0" w:type="dxa"/>
              <w:left w:w="108" w:type="dxa"/>
              <w:bottom w:w="0" w:type="dxa"/>
              <w:right w:w="108" w:type="dxa"/>
            </w:tcMar>
            <w:vAlign w:val="center"/>
          </w:tcPr>
          <w:p w14:paraId="0999D3A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6D59F9EC"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2FD5B26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MS, Ministères du développement rural, OSC, BSPP</w:t>
            </w:r>
          </w:p>
        </w:tc>
      </w:tr>
      <w:tr w:rsidR="00053CB8" w:rsidRPr="00E025E3" w14:paraId="0900218F" w14:textId="77777777" w:rsidTr="005B4857">
        <w:trPr>
          <w:trHeight w:val="667"/>
        </w:trPr>
        <w:tc>
          <w:tcPr>
            <w:tcW w:w="1905" w:type="pct"/>
            <w:vAlign w:val="center"/>
          </w:tcPr>
          <w:p w14:paraId="5F25B6A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Soutien à la mise en œuvre de l’initiative « Assurer à chaque enfant en âge scolaire au moins un repas équilibré par jour »</w:t>
            </w:r>
          </w:p>
        </w:tc>
        <w:tc>
          <w:tcPr>
            <w:tcW w:w="765" w:type="pct"/>
            <w:shd w:val="clear" w:color="auto" w:fill="auto"/>
            <w:tcMar>
              <w:top w:w="0" w:type="dxa"/>
              <w:left w:w="108" w:type="dxa"/>
              <w:bottom w:w="0" w:type="dxa"/>
              <w:right w:w="108" w:type="dxa"/>
            </w:tcMar>
            <w:vAlign w:val="center"/>
          </w:tcPr>
          <w:p w14:paraId="44DC4C2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26346B1"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Primature</w:t>
            </w:r>
          </w:p>
        </w:tc>
        <w:tc>
          <w:tcPr>
            <w:tcW w:w="1303" w:type="pct"/>
            <w:shd w:val="clear" w:color="auto" w:fill="auto"/>
            <w:tcMar>
              <w:top w:w="0" w:type="dxa"/>
              <w:left w:w="108" w:type="dxa"/>
              <w:bottom w:w="0" w:type="dxa"/>
              <w:right w:w="108" w:type="dxa"/>
            </w:tcMar>
            <w:vAlign w:val="center"/>
          </w:tcPr>
          <w:p w14:paraId="459BE72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MENAPLN, MICA, MS, MATD, MFSNFAH, MINEFID, BSPP</w:t>
            </w:r>
          </w:p>
        </w:tc>
      </w:tr>
      <w:tr w:rsidR="00053CB8" w:rsidRPr="00E025E3" w14:paraId="6D4E1D59" w14:textId="77777777" w:rsidTr="005B4857">
        <w:tc>
          <w:tcPr>
            <w:tcW w:w="1905" w:type="pct"/>
            <w:vAlign w:val="center"/>
          </w:tcPr>
          <w:p w14:paraId="6514229E"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Promotion des Bonnes Pratiques </w:t>
            </w:r>
            <w:r>
              <w:rPr>
                <w:rFonts w:ascii="Times New Roman" w:hAnsi="Times New Roman"/>
                <w:sz w:val="24"/>
                <w:szCs w:val="24"/>
              </w:rPr>
              <w:t xml:space="preserve">d’hygiène et de </w:t>
            </w:r>
            <w:r w:rsidRPr="00E174C6">
              <w:rPr>
                <w:rFonts w:ascii="Times New Roman" w:hAnsi="Times New Roman"/>
                <w:sz w:val="24"/>
                <w:szCs w:val="24"/>
              </w:rPr>
              <w:t>transformation des productions locales</w:t>
            </w:r>
          </w:p>
        </w:tc>
        <w:tc>
          <w:tcPr>
            <w:tcW w:w="765" w:type="pct"/>
            <w:shd w:val="clear" w:color="auto" w:fill="auto"/>
            <w:tcMar>
              <w:top w:w="0" w:type="dxa"/>
              <w:left w:w="108" w:type="dxa"/>
              <w:bottom w:w="0" w:type="dxa"/>
              <w:right w:w="108" w:type="dxa"/>
            </w:tcMar>
            <w:vAlign w:val="center"/>
          </w:tcPr>
          <w:p w14:paraId="5081060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00D11356"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6FDF871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MESRSI, Ministères du développement rural</w:t>
            </w:r>
          </w:p>
        </w:tc>
      </w:tr>
      <w:tr w:rsidR="00053CB8" w:rsidRPr="00E025E3" w14:paraId="3F3458EB" w14:textId="77777777" w:rsidTr="005B4857">
        <w:tc>
          <w:tcPr>
            <w:tcW w:w="1905" w:type="pct"/>
            <w:vAlign w:val="center"/>
          </w:tcPr>
          <w:p w14:paraId="68C8DA4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Réalisation de l’accès universel à l’approvisionnement à l’eau potable</w:t>
            </w:r>
            <w:r>
              <w:rPr>
                <w:rFonts w:ascii="Times New Roman" w:eastAsia="Calibri" w:hAnsi="Times New Roman"/>
                <w:sz w:val="24"/>
                <w:szCs w:val="24"/>
                <w:lang w:eastAsia="en-US"/>
              </w:rPr>
              <w:t xml:space="preserve"> et à l’assainissement </w:t>
            </w:r>
          </w:p>
        </w:tc>
        <w:tc>
          <w:tcPr>
            <w:tcW w:w="765" w:type="pct"/>
            <w:shd w:val="clear" w:color="auto" w:fill="auto"/>
            <w:tcMar>
              <w:top w:w="0" w:type="dxa"/>
              <w:left w:w="108" w:type="dxa"/>
              <w:bottom w:w="0" w:type="dxa"/>
              <w:right w:w="108" w:type="dxa"/>
            </w:tcMar>
            <w:vAlign w:val="center"/>
          </w:tcPr>
          <w:p w14:paraId="7C6B2591"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MT ; LT</w:t>
            </w:r>
          </w:p>
        </w:tc>
        <w:tc>
          <w:tcPr>
            <w:tcW w:w="1026" w:type="pct"/>
            <w:shd w:val="clear" w:color="auto" w:fill="auto"/>
            <w:tcMar>
              <w:top w:w="0" w:type="dxa"/>
              <w:left w:w="108" w:type="dxa"/>
              <w:bottom w:w="0" w:type="dxa"/>
              <w:right w:w="108" w:type="dxa"/>
            </w:tcMar>
            <w:vAlign w:val="center"/>
          </w:tcPr>
          <w:p w14:paraId="358D1FF7"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02101CF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730622" w14:paraId="1E56FD57" w14:textId="77777777" w:rsidTr="005B4857">
        <w:tc>
          <w:tcPr>
            <w:tcW w:w="1905" w:type="pct"/>
            <w:vAlign w:val="center"/>
          </w:tcPr>
          <w:p w14:paraId="56440EC2" w14:textId="77777777" w:rsidR="00053CB8" w:rsidRPr="00E174C6" w:rsidRDefault="00053CB8" w:rsidP="00885F60">
            <w:pPr>
              <w:spacing w:line="276" w:lineRule="auto"/>
              <w:jc w:val="both"/>
              <w:rPr>
                <w:rFonts w:ascii="Times New Roman" w:hAnsi="Times New Roman"/>
                <w:sz w:val="24"/>
                <w:szCs w:val="24"/>
              </w:rPr>
            </w:pPr>
            <w:r>
              <w:rPr>
                <w:rFonts w:ascii="Times New Roman" w:eastAsia="Calibri" w:hAnsi="Times New Roman"/>
                <w:sz w:val="24"/>
                <w:szCs w:val="24"/>
                <w:lang w:eastAsia="en-US"/>
              </w:rPr>
              <w:t>La promotion de l’Hygiène pour éviter les maladies transmissibles et diarrhéiques</w:t>
            </w:r>
          </w:p>
        </w:tc>
        <w:tc>
          <w:tcPr>
            <w:tcW w:w="765" w:type="pct"/>
            <w:shd w:val="clear" w:color="auto" w:fill="auto"/>
            <w:tcMar>
              <w:top w:w="0" w:type="dxa"/>
              <w:left w:w="108" w:type="dxa"/>
              <w:bottom w:w="0" w:type="dxa"/>
              <w:right w:w="108" w:type="dxa"/>
            </w:tcMar>
            <w:vAlign w:val="center"/>
          </w:tcPr>
          <w:p w14:paraId="0BF6FBBA"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1D23BA7B"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7EB5C517"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MS, PTF, ONGs, AD, BSPP</w:t>
            </w:r>
          </w:p>
        </w:tc>
      </w:tr>
      <w:tr w:rsidR="00053CB8" w:rsidRPr="00E025E3" w14:paraId="1B919329" w14:textId="77777777" w:rsidTr="005B4857">
        <w:tc>
          <w:tcPr>
            <w:tcW w:w="1905" w:type="pct"/>
            <w:vAlign w:val="center"/>
          </w:tcPr>
          <w:p w14:paraId="0A41C15C"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Renforcement de la p</w:t>
            </w:r>
            <w:r w:rsidRPr="00E174C6">
              <w:rPr>
                <w:rFonts w:ascii="Times New Roman" w:hAnsi="Times New Roman"/>
                <w:sz w:val="24"/>
                <w:szCs w:val="24"/>
              </w:rPr>
              <w:t>romotion</w:t>
            </w:r>
            <w:r>
              <w:rPr>
                <w:rFonts w:ascii="Times New Roman" w:hAnsi="Times New Roman"/>
                <w:sz w:val="24"/>
                <w:szCs w:val="24"/>
              </w:rPr>
              <w:t xml:space="preserve"> de </w:t>
            </w:r>
            <w:r w:rsidRPr="00E174C6">
              <w:rPr>
                <w:rFonts w:ascii="Times New Roman" w:hAnsi="Times New Roman"/>
                <w:sz w:val="24"/>
                <w:szCs w:val="24"/>
              </w:rPr>
              <w:t>la consommation des produits locaux</w:t>
            </w:r>
          </w:p>
        </w:tc>
        <w:tc>
          <w:tcPr>
            <w:tcW w:w="765" w:type="pct"/>
            <w:shd w:val="clear" w:color="auto" w:fill="auto"/>
            <w:tcMar>
              <w:top w:w="0" w:type="dxa"/>
              <w:left w:w="108" w:type="dxa"/>
              <w:bottom w:w="0" w:type="dxa"/>
              <w:right w:w="108" w:type="dxa"/>
            </w:tcMar>
            <w:vAlign w:val="center"/>
          </w:tcPr>
          <w:p w14:paraId="17A3963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79C7048F"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MICA</w:t>
            </w:r>
          </w:p>
        </w:tc>
        <w:tc>
          <w:tcPr>
            <w:tcW w:w="1303" w:type="pct"/>
            <w:shd w:val="clear" w:color="auto" w:fill="auto"/>
            <w:tcMar>
              <w:top w:w="0" w:type="dxa"/>
              <w:left w:w="108" w:type="dxa"/>
              <w:bottom w:w="0" w:type="dxa"/>
              <w:right w:w="108" w:type="dxa"/>
            </w:tcMar>
            <w:vAlign w:val="center"/>
          </w:tcPr>
          <w:p w14:paraId="6306EBD1"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BSPP</w:t>
            </w:r>
          </w:p>
        </w:tc>
      </w:tr>
      <w:tr w:rsidR="00053CB8" w:rsidRPr="00E025E3" w14:paraId="06F6A1FC" w14:textId="77777777" w:rsidTr="005B4857">
        <w:tc>
          <w:tcPr>
            <w:tcW w:w="1905" w:type="pct"/>
            <w:vAlign w:val="center"/>
          </w:tcPr>
          <w:p w14:paraId="3AC7446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techniques de transformation et d’assurance qualité des productions ASPHF</w:t>
            </w:r>
          </w:p>
        </w:tc>
        <w:tc>
          <w:tcPr>
            <w:tcW w:w="765" w:type="pct"/>
            <w:shd w:val="clear" w:color="auto" w:fill="auto"/>
            <w:tcMar>
              <w:top w:w="0" w:type="dxa"/>
              <w:left w:w="108" w:type="dxa"/>
              <w:bottom w:w="0" w:type="dxa"/>
              <w:right w:w="108" w:type="dxa"/>
            </w:tcMar>
            <w:vAlign w:val="center"/>
          </w:tcPr>
          <w:p w14:paraId="09978886"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155D2824"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MESRSI</w:t>
            </w:r>
          </w:p>
        </w:tc>
        <w:tc>
          <w:tcPr>
            <w:tcW w:w="1303" w:type="pct"/>
            <w:shd w:val="clear" w:color="auto" w:fill="auto"/>
            <w:tcMar>
              <w:top w:w="0" w:type="dxa"/>
              <w:left w:w="108" w:type="dxa"/>
              <w:bottom w:w="0" w:type="dxa"/>
              <w:right w:w="108" w:type="dxa"/>
            </w:tcMar>
            <w:vAlign w:val="center"/>
          </w:tcPr>
          <w:p w14:paraId="31D9AE0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MICA, 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E025E3" w14:paraId="78E431E9" w14:textId="77777777" w:rsidTr="005B4857">
        <w:tc>
          <w:tcPr>
            <w:tcW w:w="1905" w:type="pct"/>
            <w:vAlign w:val="center"/>
          </w:tcPr>
          <w:p w14:paraId="3EB0E6B0"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 xml:space="preserve">Renforcement du cadre règlementaire et législatif en faveur </w:t>
            </w:r>
            <w:r>
              <w:rPr>
                <w:rFonts w:ascii="Times New Roman" w:eastAsia="Calibri" w:hAnsi="Times New Roman"/>
                <w:sz w:val="24"/>
                <w:szCs w:val="24"/>
                <w:lang w:eastAsia="en-US"/>
              </w:rPr>
              <w:t xml:space="preserve">de </w:t>
            </w:r>
            <w:r w:rsidRPr="00E174C6">
              <w:rPr>
                <w:rFonts w:ascii="Times New Roman" w:eastAsia="Calibri" w:hAnsi="Times New Roman"/>
                <w:sz w:val="24"/>
                <w:szCs w:val="24"/>
                <w:lang w:eastAsia="en-US"/>
              </w:rPr>
              <w:t>la sécurité sanitaire des aliments</w:t>
            </w:r>
          </w:p>
        </w:tc>
        <w:tc>
          <w:tcPr>
            <w:tcW w:w="765" w:type="pct"/>
            <w:shd w:val="clear" w:color="auto" w:fill="auto"/>
            <w:tcMar>
              <w:top w:w="0" w:type="dxa"/>
              <w:left w:w="108" w:type="dxa"/>
              <w:bottom w:w="0" w:type="dxa"/>
              <w:right w:w="108" w:type="dxa"/>
            </w:tcMar>
            <w:vAlign w:val="center"/>
          </w:tcPr>
          <w:p w14:paraId="238EB2E0"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470F30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MICA</w:t>
            </w:r>
          </w:p>
        </w:tc>
        <w:tc>
          <w:tcPr>
            <w:tcW w:w="1303" w:type="pct"/>
            <w:shd w:val="clear" w:color="auto" w:fill="auto"/>
            <w:tcMar>
              <w:top w:w="0" w:type="dxa"/>
              <w:left w:w="108" w:type="dxa"/>
              <w:bottom w:w="0" w:type="dxa"/>
              <w:right w:w="108" w:type="dxa"/>
            </w:tcMar>
            <w:vAlign w:val="center"/>
          </w:tcPr>
          <w:p w14:paraId="6C28EB9F"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Ministère de la justice, BSPP</w:t>
            </w:r>
          </w:p>
        </w:tc>
      </w:tr>
      <w:tr w:rsidR="00053CB8" w:rsidRPr="00AB4302" w14:paraId="4D44068E" w14:textId="77777777" w:rsidTr="005B4857">
        <w:tc>
          <w:tcPr>
            <w:tcW w:w="1905" w:type="pct"/>
            <w:vAlign w:val="center"/>
          </w:tcPr>
          <w:p w14:paraId="655BC14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Renforcement de la lutte contre les maladies à caractère endémique (Covid-19, choléra, Ebola, etc.)</w:t>
            </w:r>
          </w:p>
        </w:tc>
        <w:tc>
          <w:tcPr>
            <w:tcW w:w="765" w:type="pct"/>
            <w:shd w:val="clear" w:color="auto" w:fill="auto"/>
            <w:tcMar>
              <w:top w:w="0" w:type="dxa"/>
              <w:left w:w="108" w:type="dxa"/>
              <w:bottom w:w="0" w:type="dxa"/>
              <w:right w:w="108" w:type="dxa"/>
            </w:tcMar>
            <w:vAlign w:val="center"/>
          </w:tcPr>
          <w:p w14:paraId="0C13014A"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50251959" w14:textId="77777777" w:rsidR="00053CB8" w:rsidRPr="00AB4302"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 de la Santé</w:t>
            </w:r>
          </w:p>
        </w:tc>
        <w:tc>
          <w:tcPr>
            <w:tcW w:w="1303" w:type="pct"/>
            <w:shd w:val="clear" w:color="auto" w:fill="auto"/>
            <w:tcMar>
              <w:top w:w="0" w:type="dxa"/>
              <w:left w:w="108" w:type="dxa"/>
              <w:bottom w:w="0" w:type="dxa"/>
              <w:right w:w="108" w:type="dxa"/>
            </w:tcMar>
            <w:vAlign w:val="center"/>
          </w:tcPr>
          <w:p w14:paraId="3A4A3E47" w14:textId="77777777" w:rsidR="00053CB8" w:rsidRPr="00AB4302" w:rsidRDefault="00053CB8" w:rsidP="00885F60">
            <w:pPr>
              <w:spacing w:line="276" w:lineRule="auto"/>
              <w:rPr>
                <w:rFonts w:ascii="Times New Roman" w:hAnsi="Times New Roman"/>
                <w:sz w:val="24"/>
                <w:szCs w:val="24"/>
                <w:lang w:val="en-US"/>
              </w:rPr>
            </w:pPr>
            <w:r w:rsidRPr="00AB4302">
              <w:rPr>
                <w:rFonts w:ascii="Times New Roman" w:hAnsi="Times New Roman"/>
                <w:sz w:val="24"/>
                <w:szCs w:val="24"/>
                <w:lang w:val="en-US"/>
              </w:rPr>
              <w:t>PTF, ONGs, AD, BSPP</w:t>
            </w:r>
          </w:p>
        </w:tc>
      </w:tr>
      <w:tr w:rsidR="00053CB8" w:rsidRPr="00E025E3" w14:paraId="79AE7B54" w14:textId="77777777" w:rsidTr="005B4857">
        <w:tc>
          <w:tcPr>
            <w:tcW w:w="1905" w:type="pct"/>
            <w:vAlign w:val="center"/>
          </w:tcPr>
          <w:p w14:paraId="45BC4A7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Renforcement des actions en faveur de la nutrition maternelle et infantile avec </w:t>
            </w:r>
            <w:r w:rsidRPr="00E174C6">
              <w:rPr>
                <w:rFonts w:ascii="Times New Roman" w:hAnsi="Times New Roman"/>
                <w:sz w:val="24"/>
                <w:szCs w:val="24"/>
              </w:rPr>
              <w:lastRenderedPageBreak/>
              <w:t>passage à l’échelle du plan Alimentation du Nourrisson et du Jeune Enfant (ANJE)</w:t>
            </w:r>
          </w:p>
        </w:tc>
        <w:tc>
          <w:tcPr>
            <w:tcW w:w="765" w:type="pct"/>
            <w:shd w:val="clear" w:color="auto" w:fill="auto"/>
            <w:tcMar>
              <w:top w:w="0" w:type="dxa"/>
              <w:left w:w="108" w:type="dxa"/>
              <w:bottom w:w="0" w:type="dxa"/>
              <w:right w:w="108" w:type="dxa"/>
            </w:tcMar>
            <w:vAlign w:val="center"/>
          </w:tcPr>
          <w:p w14:paraId="638222C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lastRenderedPageBreak/>
              <w:t>CT et MT</w:t>
            </w:r>
          </w:p>
        </w:tc>
        <w:tc>
          <w:tcPr>
            <w:tcW w:w="1026" w:type="pct"/>
            <w:shd w:val="clear" w:color="auto" w:fill="auto"/>
            <w:tcMar>
              <w:top w:w="0" w:type="dxa"/>
              <w:left w:w="108" w:type="dxa"/>
              <w:bottom w:w="0" w:type="dxa"/>
              <w:right w:w="108" w:type="dxa"/>
            </w:tcMar>
            <w:vAlign w:val="center"/>
          </w:tcPr>
          <w:p w14:paraId="127E15AD"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MS</w:t>
            </w:r>
          </w:p>
        </w:tc>
        <w:tc>
          <w:tcPr>
            <w:tcW w:w="1303" w:type="pct"/>
            <w:shd w:val="clear" w:color="auto" w:fill="auto"/>
            <w:tcMar>
              <w:top w:w="0" w:type="dxa"/>
              <w:left w:w="108" w:type="dxa"/>
              <w:bottom w:w="0" w:type="dxa"/>
              <w:right w:w="108" w:type="dxa"/>
            </w:tcMar>
            <w:vAlign w:val="center"/>
          </w:tcPr>
          <w:p w14:paraId="0A12435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730622" w14:paraId="0BFE1D87" w14:textId="77777777" w:rsidTr="005B4857">
        <w:tc>
          <w:tcPr>
            <w:tcW w:w="1905" w:type="pct"/>
            <w:vAlign w:val="center"/>
          </w:tcPr>
          <w:p w14:paraId="35BE491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w:t>
            </w:r>
            <w:r>
              <w:rPr>
                <w:rFonts w:ascii="Times New Roman" w:hAnsi="Times New Roman"/>
                <w:sz w:val="24"/>
                <w:szCs w:val="24"/>
              </w:rPr>
              <w:t>llocation</w:t>
            </w:r>
            <w:r w:rsidRPr="00E174C6">
              <w:rPr>
                <w:rFonts w:ascii="Times New Roman" w:hAnsi="Times New Roman"/>
                <w:sz w:val="24"/>
                <w:szCs w:val="24"/>
              </w:rPr>
              <w:t xml:space="preserve"> de 3% du financement domestique en faveur la nutrition</w:t>
            </w:r>
          </w:p>
        </w:tc>
        <w:tc>
          <w:tcPr>
            <w:tcW w:w="765" w:type="pct"/>
            <w:shd w:val="clear" w:color="auto" w:fill="auto"/>
            <w:tcMar>
              <w:top w:w="0" w:type="dxa"/>
              <w:left w:w="108" w:type="dxa"/>
              <w:bottom w:w="0" w:type="dxa"/>
              <w:right w:w="108" w:type="dxa"/>
            </w:tcMar>
            <w:vAlign w:val="center"/>
          </w:tcPr>
          <w:p w14:paraId="6006CFB2"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005ABF6D"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MINEFID</w:t>
            </w:r>
          </w:p>
        </w:tc>
        <w:tc>
          <w:tcPr>
            <w:tcW w:w="1303" w:type="pct"/>
            <w:shd w:val="clear" w:color="auto" w:fill="auto"/>
            <w:tcMar>
              <w:top w:w="0" w:type="dxa"/>
              <w:left w:w="108" w:type="dxa"/>
              <w:bottom w:w="0" w:type="dxa"/>
              <w:right w:w="108" w:type="dxa"/>
            </w:tcMar>
            <w:vAlign w:val="center"/>
          </w:tcPr>
          <w:p w14:paraId="346E715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MS, PTF, ONGs, AD, BSPP</w:t>
            </w:r>
          </w:p>
        </w:tc>
      </w:tr>
      <w:tr w:rsidR="00053CB8" w:rsidRPr="00E025E3" w14:paraId="6C982342" w14:textId="77777777" w:rsidTr="005B4857">
        <w:tc>
          <w:tcPr>
            <w:tcW w:w="1905" w:type="pct"/>
            <w:vAlign w:val="center"/>
          </w:tcPr>
          <w:p w14:paraId="2EBF718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Renforcement </w:t>
            </w:r>
            <w:r w:rsidRPr="00E174C6">
              <w:rPr>
                <w:rFonts w:ascii="Times New Roman" w:eastAsia="Calibri" w:hAnsi="Times New Roman"/>
                <w:sz w:val="24"/>
                <w:szCs w:val="24"/>
                <w:lang w:eastAsia="en-US"/>
              </w:rPr>
              <w:t>des mesures incitatives pour le renouvellement du parc automobile de transport des produits alimentaires</w:t>
            </w:r>
            <w:r>
              <w:rPr>
                <w:rFonts w:ascii="Times New Roman" w:eastAsia="Calibri" w:hAnsi="Times New Roman"/>
                <w:sz w:val="24"/>
                <w:szCs w:val="24"/>
                <w:lang w:eastAsia="en-US"/>
              </w:rPr>
              <w:t xml:space="preserve"> </w:t>
            </w:r>
            <w:r w:rsidRPr="00E174C6">
              <w:rPr>
                <w:rFonts w:ascii="Times New Roman" w:eastAsia="Calibri" w:hAnsi="Times New Roman"/>
                <w:sz w:val="24"/>
                <w:szCs w:val="24"/>
                <w:lang w:eastAsia="en-US"/>
              </w:rPr>
              <w:t>de 25% d’ici 2030</w:t>
            </w:r>
            <w:r>
              <w:rPr>
                <w:rFonts w:ascii="Times New Roman" w:eastAsia="Calibri" w:hAnsi="Times New Roman"/>
                <w:sz w:val="24"/>
                <w:szCs w:val="24"/>
                <w:lang w:eastAsia="en-US"/>
              </w:rPr>
              <w:t>.</w:t>
            </w:r>
          </w:p>
        </w:tc>
        <w:tc>
          <w:tcPr>
            <w:tcW w:w="765" w:type="pct"/>
            <w:shd w:val="clear" w:color="auto" w:fill="auto"/>
            <w:tcMar>
              <w:top w:w="0" w:type="dxa"/>
              <w:left w:w="108" w:type="dxa"/>
              <w:bottom w:w="0" w:type="dxa"/>
              <w:right w:w="108" w:type="dxa"/>
            </w:tcMar>
            <w:vAlign w:val="center"/>
          </w:tcPr>
          <w:p w14:paraId="0173055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34A07E0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0C1068F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0A5108D4" w14:textId="77777777" w:rsidTr="005B4857">
        <w:tc>
          <w:tcPr>
            <w:tcW w:w="1905" w:type="pct"/>
            <w:vAlign w:val="center"/>
          </w:tcPr>
          <w:p w14:paraId="238D9AC5"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Réalisation de l’interconnexion ferroviaire Accra-Ouagadougou</w:t>
            </w:r>
          </w:p>
        </w:tc>
        <w:tc>
          <w:tcPr>
            <w:tcW w:w="765" w:type="pct"/>
            <w:shd w:val="clear" w:color="auto" w:fill="auto"/>
            <w:tcMar>
              <w:top w:w="0" w:type="dxa"/>
              <w:left w:w="108" w:type="dxa"/>
              <w:bottom w:w="0" w:type="dxa"/>
              <w:right w:w="108" w:type="dxa"/>
            </w:tcMar>
            <w:vAlign w:val="center"/>
          </w:tcPr>
          <w:p w14:paraId="0A773623"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1A648388"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1D16AF5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70D8D84A" w14:textId="77777777" w:rsidTr="005B4857">
        <w:tc>
          <w:tcPr>
            <w:tcW w:w="1905" w:type="pct"/>
            <w:vAlign w:val="center"/>
          </w:tcPr>
          <w:p w14:paraId="61CC624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Réhabilitation/construction d’un chemin de fer Ouaga-Kaya-Frontière Niger</w:t>
            </w:r>
          </w:p>
        </w:tc>
        <w:tc>
          <w:tcPr>
            <w:tcW w:w="765" w:type="pct"/>
            <w:shd w:val="clear" w:color="auto" w:fill="auto"/>
            <w:tcMar>
              <w:top w:w="0" w:type="dxa"/>
              <w:left w:w="108" w:type="dxa"/>
              <w:bottom w:w="0" w:type="dxa"/>
              <w:right w:w="108" w:type="dxa"/>
            </w:tcMar>
            <w:vAlign w:val="center"/>
          </w:tcPr>
          <w:p w14:paraId="78E3905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4D25432E"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298F1301"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351A7E0B" w14:textId="77777777" w:rsidTr="005B4857">
        <w:tc>
          <w:tcPr>
            <w:tcW w:w="1905" w:type="pct"/>
            <w:vAlign w:val="center"/>
          </w:tcPr>
          <w:p w14:paraId="49EE814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Réhabilitation/renforcement du réseau routier provincial et départemental dans les zones de forte production y compris les Plaines de production</w:t>
            </w:r>
          </w:p>
        </w:tc>
        <w:tc>
          <w:tcPr>
            <w:tcW w:w="765" w:type="pct"/>
            <w:shd w:val="clear" w:color="auto" w:fill="auto"/>
            <w:tcMar>
              <w:top w:w="0" w:type="dxa"/>
              <w:left w:w="108" w:type="dxa"/>
              <w:bottom w:w="0" w:type="dxa"/>
              <w:right w:w="108" w:type="dxa"/>
            </w:tcMar>
            <w:vAlign w:val="center"/>
          </w:tcPr>
          <w:p w14:paraId="5DE32889"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6E96E722"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MID</w:t>
            </w:r>
          </w:p>
        </w:tc>
        <w:tc>
          <w:tcPr>
            <w:tcW w:w="1303" w:type="pct"/>
            <w:shd w:val="clear" w:color="auto" w:fill="auto"/>
            <w:tcMar>
              <w:top w:w="0" w:type="dxa"/>
              <w:left w:w="108" w:type="dxa"/>
              <w:bottom w:w="0" w:type="dxa"/>
              <w:right w:w="108" w:type="dxa"/>
            </w:tcMar>
            <w:vAlign w:val="center"/>
          </w:tcPr>
          <w:p w14:paraId="2E2DFB9D"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730622" w14:paraId="63C973A5" w14:textId="77777777" w:rsidTr="005B4857">
        <w:tc>
          <w:tcPr>
            <w:tcW w:w="1905" w:type="pct"/>
            <w:vAlign w:val="center"/>
          </w:tcPr>
          <w:p w14:paraId="546234D3"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infrastructures structurantes en faveur des secteurs des systèmes alimentaires</w:t>
            </w:r>
          </w:p>
        </w:tc>
        <w:tc>
          <w:tcPr>
            <w:tcW w:w="765" w:type="pct"/>
            <w:shd w:val="clear" w:color="auto" w:fill="auto"/>
            <w:tcMar>
              <w:top w:w="0" w:type="dxa"/>
              <w:left w:w="108" w:type="dxa"/>
              <w:bottom w:w="0" w:type="dxa"/>
              <w:right w:w="108" w:type="dxa"/>
            </w:tcMar>
            <w:vAlign w:val="center"/>
          </w:tcPr>
          <w:p w14:paraId="569171C5"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24C67AB8"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D5EAAC0"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MINEFID, PTF, ONGs, AD, BSPP</w:t>
            </w:r>
          </w:p>
        </w:tc>
      </w:tr>
      <w:tr w:rsidR="00053CB8" w:rsidRPr="00730622" w14:paraId="76600E1E" w14:textId="77777777" w:rsidTr="005B4857">
        <w:tc>
          <w:tcPr>
            <w:tcW w:w="1905" w:type="pct"/>
            <w:vAlign w:val="center"/>
          </w:tcPr>
          <w:p w14:paraId="4266705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w:t>
            </w:r>
            <w:r w:rsidRPr="00E174C6">
              <w:rPr>
                <w:rFonts w:ascii="Times New Roman" w:eastAsia="Calibri" w:hAnsi="Times New Roman"/>
                <w:sz w:val="24"/>
                <w:szCs w:val="24"/>
                <w:lang w:eastAsia="en-US"/>
              </w:rPr>
              <w:t>éveloppement du partenariat</w:t>
            </w:r>
            <w:r w:rsidRPr="00E174C6">
              <w:rPr>
                <w:rFonts w:ascii="Times New Roman" w:hAnsi="Times New Roman"/>
                <w:sz w:val="24"/>
                <w:szCs w:val="24"/>
              </w:rPr>
              <w:t xml:space="preserve"> (alliance productive, agriculture contractuelle, etc.)</w:t>
            </w:r>
            <w:r w:rsidRPr="00E174C6">
              <w:rPr>
                <w:rFonts w:ascii="Times New Roman" w:eastAsia="Calibri" w:hAnsi="Times New Roman"/>
                <w:sz w:val="24"/>
                <w:szCs w:val="24"/>
                <w:lang w:eastAsia="en-US"/>
              </w:rPr>
              <w:t xml:space="preserve"> entre les acteurs des systèmes alimentaires</w:t>
            </w:r>
          </w:p>
        </w:tc>
        <w:tc>
          <w:tcPr>
            <w:tcW w:w="765" w:type="pct"/>
            <w:shd w:val="clear" w:color="auto" w:fill="auto"/>
            <w:tcMar>
              <w:top w:w="0" w:type="dxa"/>
              <w:left w:w="108" w:type="dxa"/>
              <w:bottom w:w="0" w:type="dxa"/>
              <w:right w:w="108" w:type="dxa"/>
            </w:tcMar>
            <w:vAlign w:val="center"/>
          </w:tcPr>
          <w:p w14:paraId="6EF15714"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BA69C6B"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01CB7BFB"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OPA, MICA, PTF, ONGs, AD, BSPP </w:t>
            </w:r>
          </w:p>
        </w:tc>
      </w:tr>
      <w:tr w:rsidR="00053CB8" w:rsidRPr="00730622" w14:paraId="2B765FA8" w14:textId="77777777" w:rsidTr="005B4857">
        <w:tc>
          <w:tcPr>
            <w:tcW w:w="1905" w:type="pct"/>
            <w:vAlign w:val="center"/>
          </w:tcPr>
          <w:p w14:paraId="5E0A8F1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capacités techniques et opérationnelles des acteurs des systèmes alimentaires</w:t>
            </w:r>
          </w:p>
        </w:tc>
        <w:tc>
          <w:tcPr>
            <w:tcW w:w="765" w:type="pct"/>
            <w:shd w:val="clear" w:color="auto" w:fill="auto"/>
            <w:tcMar>
              <w:top w:w="0" w:type="dxa"/>
              <w:left w:w="108" w:type="dxa"/>
              <w:bottom w:w="0" w:type="dxa"/>
              <w:right w:w="108" w:type="dxa"/>
            </w:tcMar>
            <w:vAlign w:val="center"/>
          </w:tcPr>
          <w:p w14:paraId="5620F97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4A0F3155"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43E4615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OPA, PTF, ONGs, AD, BSPP</w:t>
            </w:r>
          </w:p>
        </w:tc>
      </w:tr>
      <w:tr w:rsidR="00053CB8" w:rsidRPr="00730622" w14:paraId="6A292024" w14:textId="77777777" w:rsidTr="005B4857">
        <w:tc>
          <w:tcPr>
            <w:tcW w:w="1905" w:type="pct"/>
            <w:vAlign w:val="center"/>
          </w:tcPr>
          <w:p w14:paraId="774073D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Professionnalisation des acteurs directs et indirects des filières ASPHF</w:t>
            </w:r>
          </w:p>
        </w:tc>
        <w:tc>
          <w:tcPr>
            <w:tcW w:w="765" w:type="pct"/>
            <w:shd w:val="clear" w:color="auto" w:fill="auto"/>
            <w:tcMar>
              <w:top w:w="0" w:type="dxa"/>
              <w:left w:w="108" w:type="dxa"/>
              <w:bottom w:w="0" w:type="dxa"/>
              <w:right w:w="108" w:type="dxa"/>
            </w:tcMar>
            <w:vAlign w:val="center"/>
          </w:tcPr>
          <w:p w14:paraId="7EA8E7B4"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0CDD41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34F096A"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OPA, PTF, ONGs, AD, BSPP</w:t>
            </w:r>
          </w:p>
        </w:tc>
      </w:tr>
      <w:tr w:rsidR="00053CB8" w:rsidRPr="00730622" w14:paraId="1479F96C" w14:textId="77777777" w:rsidTr="005B4857">
        <w:tc>
          <w:tcPr>
            <w:tcW w:w="1905" w:type="pct"/>
            <w:vAlign w:val="center"/>
          </w:tcPr>
          <w:p w14:paraId="46C2EFD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moyens de prévention et  l’aide humanitaire d’urgence</w:t>
            </w:r>
            <w:r w:rsidRPr="00E174C6">
              <w:rPr>
                <w:rFonts w:ascii="Times New Roman" w:eastAsia="Calibri" w:hAnsi="Times New Roman"/>
                <w:sz w:val="24"/>
                <w:szCs w:val="24"/>
                <w:lang w:eastAsia="en-US"/>
              </w:rPr>
              <w:t xml:space="preserve"> aux personnes affectées par les conflits et les crises </w:t>
            </w:r>
          </w:p>
        </w:tc>
        <w:tc>
          <w:tcPr>
            <w:tcW w:w="765" w:type="pct"/>
            <w:shd w:val="clear" w:color="auto" w:fill="auto"/>
            <w:tcMar>
              <w:top w:w="0" w:type="dxa"/>
              <w:left w:w="108" w:type="dxa"/>
              <w:bottom w:w="0" w:type="dxa"/>
              <w:right w:w="108" w:type="dxa"/>
            </w:tcMar>
            <w:vAlign w:val="center"/>
          </w:tcPr>
          <w:p w14:paraId="3F7851D1"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05E78DAE"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MFSNFAH</w:t>
            </w:r>
          </w:p>
        </w:tc>
        <w:tc>
          <w:tcPr>
            <w:tcW w:w="1303" w:type="pct"/>
            <w:shd w:val="clear" w:color="auto" w:fill="auto"/>
            <w:tcMar>
              <w:top w:w="0" w:type="dxa"/>
              <w:left w:w="108" w:type="dxa"/>
              <w:bottom w:w="0" w:type="dxa"/>
              <w:right w:w="108" w:type="dxa"/>
            </w:tcMar>
            <w:vAlign w:val="center"/>
          </w:tcPr>
          <w:p w14:paraId="1F32FC04"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MAAHM, MRAH, MEEVCC, </w:t>
            </w:r>
          </w:p>
          <w:p w14:paraId="01FAFAF3"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lastRenderedPageBreak/>
              <w:t>MEA, MS, MATD, MENA</w:t>
            </w:r>
            <w:r>
              <w:rPr>
                <w:rFonts w:ascii="Times New Roman" w:hAnsi="Times New Roman"/>
                <w:sz w:val="24"/>
                <w:szCs w:val="24"/>
                <w:lang w:val="en-US"/>
              </w:rPr>
              <w:t xml:space="preserve">PLN; </w:t>
            </w:r>
            <w:r w:rsidRPr="00CD4E0F">
              <w:rPr>
                <w:rFonts w:ascii="Times New Roman" w:hAnsi="Times New Roman"/>
                <w:sz w:val="24"/>
                <w:szCs w:val="24"/>
                <w:lang w:val="en-US"/>
              </w:rPr>
              <w:t>PTF, ONGs, AD, BSPP</w:t>
            </w:r>
          </w:p>
        </w:tc>
      </w:tr>
      <w:tr w:rsidR="00053CB8" w:rsidRPr="00730622" w14:paraId="12245C74" w14:textId="77777777" w:rsidTr="005B4857">
        <w:tc>
          <w:tcPr>
            <w:tcW w:w="1905" w:type="pct"/>
            <w:vAlign w:val="center"/>
          </w:tcPr>
          <w:p w14:paraId="2662601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Renforcement</w:t>
            </w:r>
            <w:r w:rsidRPr="00E174C6">
              <w:rPr>
                <w:rFonts w:ascii="Times New Roman" w:eastAsia="Calibri" w:hAnsi="Times New Roman"/>
                <w:sz w:val="24"/>
                <w:szCs w:val="24"/>
                <w:lang w:eastAsia="en-US"/>
              </w:rPr>
              <w:t xml:space="preserve"> </w:t>
            </w:r>
            <w:r w:rsidRPr="00E174C6">
              <w:rPr>
                <w:rFonts w:ascii="Times New Roman" w:hAnsi="Times New Roman"/>
                <w:sz w:val="24"/>
                <w:szCs w:val="24"/>
              </w:rPr>
              <w:t>du</w:t>
            </w:r>
            <w:r w:rsidRPr="00E174C6">
              <w:rPr>
                <w:rFonts w:ascii="Times New Roman" w:eastAsia="Calibri" w:hAnsi="Times New Roman"/>
                <w:sz w:val="24"/>
                <w:szCs w:val="24"/>
                <w:lang w:eastAsia="en-US"/>
              </w:rPr>
              <w:t xml:space="preserve"> relèvement durable des populations affectées par les conflits et les crises </w:t>
            </w:r>
          </w:p>
        </w:tc>
        <w:tc>
          <w:tcPr>
            <w:tcW w:w="765" w:type="pct"/>
            <w:shd w:val="clear" w:color="auto" w:fill="auto"/>
            <w:tcMar>
              <w:top w:w="0" w:type="dxa"/>
              <w:left w:w="108" w:type="dxa"/>
              <w:bottom w:w="0" w:type="dxa"/>
              <w:right w:w="108" w:type="dxa"/>
            </w:tcMar>
            <w:vAlign w:val="center"/>
          </w:tcPr>
          <w:p w14:paraId="270DBB4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4D794D3"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MFSNFAH</w:t>
            </w:r>
          </w:p>
        </w:tc>
        <w:tc>
          <w:tcPr>
            <w:tcW w:w="1303" w:type="pct"/>
            <w:shd w:val="clear" w:color="auto" w:fill="auto"/>
            <w:tcMar>
              <w:top w:w="0" w:type="dxa"/>
              <w:left w:w="108" w:type="dxa"/>
              <w:bottom w:w="0" w:type="dxa"/>
              <w:right w:w="108" w:type="dxa"/>
            </w:tcMar>
            <w:vAlign w:val="center"/>
          </w:tcPr>
          <w:p w14:paraId="6D75354C"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MAAHM, MRAH, MEEVCC, </w:t>
            </w:r>
          </w:p>
          <w:p w14:paraId="448A8BDC"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MS, MATD, MENAPTF, ONGs, AD, BSPP</w:t>
            </w:r>
          </w:p>
        </w:tc>
      </w:tr>
      <w:tr w:rsidR="00053CB8" w:rsidRPr="00730622" w14:paraId="65E45A67" w14:textId="77777777" w:rsidTr="005B4857">
        <w:tc>
          <w:tcPr>
            <w:tcW w:w="1905" w:type="pct"/>
            <w:vAlign w:val="center"/>
          </w:tcPr>
          <w:p w14:paraId="17FB8657"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Renforcement</w:t>
            </w:r>
            <w:r w:rsidRPr="00E174C6">
              <w:rPr>
                <w:rFonts w:ascii="Times New Roman" w:hAnsi="Times New Roman"/>
                <w:sz w:val="24"/>
                <w:szCs w:val="24"/>
              </w:rPr>
              <w:t xml:space="preserve"> des systèmes d’information et d’alerte précoce</w:t>
            </w:r>
          </w:p>
        </w:tc>
        <w:tc>
          <w:tcPr>
            <w:tcW w:w="765" w:type="pct"/>
            <w:shd w:val="clear" w:color="auto" w:fill="auto"/>
            <w:tcMar>
              <w:top w:w="0" w:type="dxa"/>
              <w:left w:w="108" w:type="dxa"/>
              <w:bottom w:w="0" w:type="dxa"/>
              <w:right w:w="108" w:type="dxa"/>
            </w:tcMar>
            <w:vAlign w:val="center"/>
          </w:tcPr>
          <w:p w14:paraId="275D73E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4735070A"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585BF076"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MRAH, MEEVCC, </w:t>
            </w:r>
          </w:p>
          <w:p w14:paraId="5A24B2EF"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MFSNFAH</w:t>
            </w:r>
          </w:p>
          <w:p w14:paraId="4CF1736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MS, MATD, MENAP</w:t>
            </w:r>
            <w:r>
              <w:rPr>
                <w:rFonts w:ascii="Times New Roman" w:hAnsi="Times New Roman"/>
                <w:sz w:val="24"/>
                <w:szCs w:val="24"/>
                <w:lang w:val="en-US"/>
              </w:rPr>
              <w:t>LN, P</w:t>
            </w:r>
            <w:r w:rsidRPr="00CD4E0F">
              <w:rPr>
                <w:rFonts w:ascii="Times New Roman" w:hAnsi="Times New Roman"/>
                <w:sz w:val="24"/>
                <w:szCs w:val="24"/>
                <w:lang w:val="en-US"/>
              </w:rPr>
              <w:t>TF, ONGs, AD, BSPP</w:t>
            </w:r>
          </w:p>
        </w:tc>
      </w:tr>
      <w:tr w:rsidR="00053CB8" w:rsidRPr="00E025E3" w14:paraId="57BC2C2D" w14:textId="77777777" w:rsidTr="005B4857">
        <w:tc>
          <w:tcPr>
            <w:tcW w:w="1905" w:type="pct"/>
            <w:vAlign w:val="center"/>
          </w:tcPr>
          <w:p w14:paraId="046D1F8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systèmes d’assurance dans les secteurs des systèmes alimentaires</w:t>
            </w:r>
          </w:p>
        </w:tc>
        <w:tc>
          <w:tcPr>
            <w:tcW w:w="765" w:type="pct"/>
            <w:shd w:val="clear" w:color="auto" w:fill="auto"/>
            <w:tcMar>
              <w:top w:w="0" w:type="dxa"/>
              <w:left w:w="108" w:type="dxa"/>
              <w:bottom w:w="0" w:type="dxa"/>
              <w:right w:w="108" w:type="dxa"/>
            </w:tcMar>
            <w:vAlign w:val="center"/>
          </w:tcPr>
          <w:p w14:paraId="695F260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0243C0C7"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7C475606"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Autres 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E025E3" w14:paraId="3A4DF027" w14:textId="77777777" w:rsidTr="005B4857">
        <w:trPr>
          <w:trHeight w:val="270"/>
        </w:trPr>
        <w:tc>
          <w:tcPr>
            <w:tcW w:w="1905" w:type="pct"/>
            <w:vAlign w:val="center"/>
          </w:tcPr>
          <w:p w14:paraId="68F79ED3"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P</w:t>
            </w:r>
            <w:r w:rsidRPr="00E174C6">
              <w:rPr>
                <w:rFonts w:ascii="Times New Roman" w:hAnsi="Times New Roman"/>
                <w:sz w:val="24"/>
                <w:szCs w:val="24"/>
              </w:rPr>
              <w:t>romotion de l’agro</w:t>
            </w:r>
            <w:r>
              <w:rPr>
                <w:rFonts w:ascii="Times New Roman" w:hAnsi="Times New Roman"/>
                <w:sz w:val="24"/>
                <w:szCs w:val="24"/>
              </w:rPr>
              <w:t>-</w:t>
            </w:r>
            <w:r w:rsidRPr="00E174C6">
              <w:rPr>
                <w:rFonts w:ascii="Times New Roman" w:hAnsi="Times New Roman"/>
                <w:sz w:val="24"/>
                <w:szCs w:val="24"/>
              </w:rPr>
              <w:t>écologie et l’agriculture biologique</w:t>
            </w:r>
          </w:p>
        </w:tc>
        <w:tc>
          <w:tcPr>
            <w:tcW w:w="765" w:type="pct"/>
            <w:shd w:val="clear" w:color="auto" w:fill="auto"/>
            <w:tcMar>
              <w:top w:w="0" w:type="dxa"/>
              <w:left w:w="108" w:type="dxa"/>
              <w:bottom w:w="0" w:type="dxa"/>
              <w:right w:w="108" w:type="dxa"/>
            </w:tcMar>
            <w:vAlign w:val="center"/>
          </w:tcPr>
          <w:p w14:paraId="7E94F4B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37E1309"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MEEVCC</w:t>
            </w:r>
          </w:p>
        </w:tc>
        <w:tc>
          <w:tcPr>
            <w:tcW w:w="1303" w:type="pct"/>
            <w:shd w:val="clear" w:color="auto" w:fill="auto"/>
            <w:tcMar>
              <w:top w:w="0" w:type="dxa"/>
              <w:left w:w="108" w:type="dxa"/>
              <w:bottom w:w="0" w:type="dxa"/>
              <w:right w:w="108" w:type="dxa"/>
            </w:tcMar>
            <w:vAlign w:val="center"/>
          </w:tcPr>
          <w:p w14:paraId="06AD1D69"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BSPP</w:t>
            </w:r>
          </w:p>
        </w:tc>
      </w:tr>
    </w:tbl>
    <w:p w14:paraId="4A33E4B9" w14:textId="28F2147F" w:rsidR="001C1FD8" w:rsidRPr="00F95665" w:rsidRDefault="00053CB8" w:rsidP="00053CB8">
      <w:pPr>
        <w:pStyle w:val="Sansinterligne"/>
      </w:pPr>
      <w:r>
        <w:tab/>
      </w:r>
    </w:p>
    <w:sectPr w:rsidR="001C1FD8" w:rsidRPr="00F95665" w:rsidSect="00BA1A6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F41D9" w14:textId="77777777" w:rsidR="00885F60" w:rsidRDefault="00885F60" w:rsidP="001D6A69">
      <w:pPr>
        <w:spacing w:after="0" w:line="240" w:lineRule="auto"/>
      </w:pPr>
      <w:r>
        <w:separator/>
      </w:r>
    </w:p>
  </w:endnote>
  <w:endnote w:type="continuationSeparator" w:id="0">
    <w:p w14:paraId="3008C305" w14:textId="77777777" w:rsidR="00885F60" w:rsidRDefault="00885F60" w:rsidP="001D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44302"/>
      <w:docPartObj>
        <w:docPartGallery w:val="Page Numbers (Bottom of Page)"/>
        <w:docPartUnique/>
      </w:docPartObj>
    </w:sdtPr>
    <w:sdtContent>
      <w:p w14:paraId="0DC5A66A" w14:textId="6E93CFC4" w:rsidR="00885F60" w:rsidRDefault="00885F60">
        <w:pPr>
          <w:pStyle w:val="Pieddepage"/>
          <w:jc w:val="right"/>
        </w:pPr>
        <w:r>
          <w:fldChar w:fldCharType="begin"/>
        </w:r>
        <w:r>
          <w:instrText>PAGE   \* MERGEFORMAT</w:instrText>
        </w:r>
        <w:r>
          <w:fldChar w:fldCharType="separate"/>
        </w:r>
        <w:r w:rsidR="008A2292" w:rsidRPr="008A2292">
          <w:rPr>
            <w:noProof/>
            <w:lang w:val="fr-FR"/>
          </w:rPr>
          <w:t>16</w:t>
        </w:r>
        <w:r>
          <w:fldChar w:fldCharType="end"/>
        </w:r>
      </w:p>
    </w:sdtContent>
  </w:sdt>
  <w:p w14:paraId="4EF37194" w14:textId="466EE22A" w:rsidR="00885F60" w:rsidRDefault="00885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EAB9" w14:textId="77777777" w:rsidR="00885F60" w:rsidRDefault="00885F60" w:rsidP="001D6A69">
      <w:pPr>
        <w:spacing w:after="0" w:line="240" w:lineRule="auto"/>
      </w:pPr>
      <w:r>
        <w:separator/>
      </w:r>
    </w:p>
  </w:footnote>
  <w:footnote w:type="continuationSeparator" w:id="0">
    <w:p w14:paraId="36B76B0F" w14:textId="77777777" w:rsidR="00885F60" w:rsidRDefault="00885F60" w:rsidP="001D6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658D"/>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195AE4"/>
    <w:multiLevelType w:val="hybridMultilevel"/>
    <w:tmpl w:val="2C6EED54"/>
    <w:lvl w:ilvl="0" w:tplc="E962115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6427D"/>
    <w:multiLevelType w:val="hybridMultilevel"/>
    <w:tmpl w:val="7E16AE86"/>
    <w:lvl w:ilvl="0" w:tplc="31FCD762">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E5D70"/>
    <w:multiLevelType w:val="hybridMultilevel"/>
    <w:tmpl w:val="788298D0"/>
    <w:lvl w:ilvl="0" w:tplc="655854C4">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AD5F99"/>
    <w:multiLevelType w:val="hybridMultilevel"/>
    <w:tmpl w:val="45C022B0"/>
    <w:lvl w:ilvl="0" w:tplc="13946A0C">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6205A6"/>
    <w:multiLevelType w:val="hybridMultilevel"/>
    <w:tmpl w:val="A91658F8"/>
    <w:lvl w:ilvl="0" w:tplc="247ABAE6">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262684"/>
    <w:multiLevelType w:val="hybridMultilevel"/>
    <w:tmpl w:val="6786FDBE"/>
    <w:lvl w:ilvl="0" w:tplc="27020258">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385B57"/>
    <w:multiLevelType w:val="hybridMultilevel"/>
    <w:tmpl w:val="942E2882"/>
    <w:lvl w:ilvl="0" w:tplc="CCBE1D2C">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FE6745"/>
    <w:multiLevelType w:val="hybridMultilevel"/>
    <w:tmpl w:val="4F5626E2"/>
    <w:lvl w:ilvl="0" w:tplc="024C6D1C">
      <w:start w:val="1"/>
      <w:numFmt w:val="lowerRoman"/>
      <w:lvlText w:val="(%1)"/>
      <w:lvlJc w:val="left"/>
      <w:pPr>
        <w:ind w:left="1440" w:hanging="108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FA2342"/>
    <w:multiLevelType w:val="hybridMultilevel"/>
    <w:tmpl w:val="F81E5B48"/>
    <w:lvl w:ilvl="0" w:tplc="960A624E">
      <w:start w:val="1"/>
      <w:numFmt w:val="upperRoman"/>
      <w:lvlText w:val="%1."/>
      <w:lvlJc w:val="right"/>
      <w:pPr>
        <w:ind w:left="720" w:hanging="360"/>
      </w:pPr>
      <w:rPr>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9B3E97"/>
    <w:multiLevelType w:val="hybridMultilevel"/>
    <w:tmpl w:val="0A7ECC4E"/>
    <w:lvl w:ilvl="0" w:tplc="97F299FE">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1C060F"/>
    <w:multiLevelType w:val="hybridMultilevel"/>
    <w:tmpl w:val="178CD668"/>
    <w:lvl w:ilvl="0" w:tplc="6AB87B1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E24377"/>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12"/>
  </w:num>
  <w:num w:numId="6">
    <w:abstractNumId w:val="5"/>
  </w:num>
  <w:num w:numId="7">
    <w:abstractNumId w:val="11"/>
  </w:num>
  <w:num w:numId="8">
    <w:abstractNumId w:val="10"/>
  </w:num>
  <w:num w:numId="9">
    <w:abstractNumId w:val="8"/>
  </w:num>
  <w:num w:numId="10">
    <w:abstractNumId w:val="2"/>
  </w:num>
  <w:num w:numId="11">
    <w:abstractNumId w:val="1"/>
  </w:num>
  <w:num w:numId="12">
    <w:abstractNumId w:val="6"/>
  </w:num>
  <w:num w:numId="13">
    <w:abstractNumId w:val="4"/>
  </w:num>
  <w:num w:numId="14">
    <w:abstractNumId w:val="4"/>
  </w:num>
  <w:num w:numId="15">
    <w:abstractNumId w:val="4"/>
  </w:num>
  <w:num w:numId="16">
    <w:abstractNumId w:val="4"/>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D"/>
    <w:rsid w:val="00000C78"/>
    <w:rsid w:val="0000137C"/>
    <w:rsid w:val="00001452"/>
    <w:rsid w:val="00006932"/>
    <w:rsid w:val="00014716"/>
    <w:rsid w:val="00015E32"/>
    <w:rsid w:val="000236D1"/>
    <w:rsid w:val="000325A8"/>
    <w:rsid w:val="00033D66"/>
    <w:rsid w:val="00033DCB"/>
    <w:rsid w:val="000340D3"/>
    <w:rsid w:val="000444B2"/>
    <w:rsid w:val="00044520"/>
    <w:rsid w:val="00044C3D"/>
    <w:rsid w:val="00053CB8"/>
    <w:rsid w:val="000630D0"/>
    <w:rsid w:val="000637E7"/>
    <w:rsid w:val="00080862"/>
    <w:rsid w:val="00084487"/>
    <w:rsid w:val="00087434"/>
    <w:rsid w:val="000974EA"/>
    <w:rsid w:val="000A4714"/>
    <w:rsid w:val="000C0F51"/>
    <w:rsid w:val="000C1283"/>
    <w:rsid w:val="000C5A4A"/>
    <w:rsid w:val="000C5FC1"/>
    <w:rsid w:val="000D0124"/>
    <w:rsid w:val="000D40BA"/>
    <w:rsid w:val="000E3300"/>
    <w:rsid w:val="000E4065"/>
    <w:rsid w:val="000E4D24"/>
    <w:rsid w:val="000E5599"/>
    <w:rsid w:val="000E74B5"/>
    <w:rsid w:val="00103F41"/>
    <w:rsid w:val="00122B3A"/>
    <w:rsid w:val="00123514"/>
    <w:rsid w:val="0012707F"/>
    <w:rsid w:val="001359B5"/>
    <w:rsid w:val="001511A5"/>
    <w:rsid w:val="00163885"/>
    <w:rsid w:val="0016442A"/>
    <w:rsid w:val="00167039"/>
    <w:rsid w:val="00170536"/>
    <w:rsid w:val="0017765F"/>
    <w:rsid w:val="00181962"/>
    <w:rsid w:val="00185126"/>
    <w:rsid w:val="00194593"/>
    <w:rsid w:val="001A55FE"/>
    <w:rsid w:val="001B4ACB"/>
    <w:rsid w:val="001B60E4"/>
    <w:rsid w:val="001B7968"/>
    <w:rsid w:val="001B7D98"/>
    <w:rsid w:val="001C1FD8"/>
    <w:rsid w:val="001D47D7"/>
    <w:rsid w:val="001D6A69"/>
    <w:rsid w:val="001E1F95"/>
    <w:rsid w:val="001E29C3"/>
    <w:rsid w:val="001E42A3"/>
    <w:rsid w:val="001F322E"/>
    <w:rsid w:val="001F44C6"/>
    <w:rsid w:val="001F7861"/>
    <w:rsid w:val="00203523"/>
    <w:rsid w:val="00205AFF"/>
    <w:rsid w:val="00220798"/>
    <w:rsid w:val="00222A86"/>
    <w:rsid w:val="002261A6"/>
    <w:rsid w:val="00236F8D"/>
    <w:rsid w:val="00243B86"/>
    <w:rsid w:val="0025317D"/>
    <w:rsid w:val="00254AF0"/>
    <w:rsid w:val="00260FAB"/>
    <w:rsid w:val="00267C8C"/>
    <w:rsid w:val="00277AC3"/>
    <w:rsid w:val="00287641"/>
    <w:rsid w:val="00287A3F"/>
    <w:rsid w:val="002A28FE"/>
    <w:rsid w:val="002B2C3A"/>
    <w:rsid w:val="002C791B"/>
    <w:rsid w:val="002D6FE6"/>
    <w:rsid w:val="002D7B00"/>
    <w:rsid w:val="002E02E8"/>
    <w:rsid w:val="002E2A68"/>
    <w:rsid w:val="002F0BAC"/>
    <w:rsid w:val="002F1C05"/>
    <w:rsid w:val="002F284A"/>
    <w:rsid w:val="002F28B6"/>
    <w:rsid w:val="002F4240"/>
    <w:rsid w:val="002F44C8"/>
    <w:rsid w:val="00305468"/>
    <w:rsid w:val="00312661"/>
    <w:rsid w:val="00313C65"/>
    <w:rsid w:val="00317CBE"/>
    <w:rsid w:val="00320947"/>
    <w:rsid w:val="00322D61"/>
    <w:rsid w:val="00337886"/>
    <w:rsid w:val="00340AEE"/>
    <w:rsid w:val="00350CA5"/>
    <w:rsid w:val="00353B66"/>
    <w:rsid w:val="0035487C"/>
    <w:rsid w:val="00356157"/>
    <w:rsid w:val="0037047A"/>
    <w:rsid w:val="00382CF3"/>
    <w:rsid w:val="00387C4F"/>
    <w:rsid w:val="00392D03"/>
    <w:rsid w:val="003967C1"/>
    <w:rsid w:val="003A3A66"/>
    <w:rsid w:val="003B3017"/>
    <w:rsid w:val="003B3B16"/>
    <w:rsid w:val="003B4BE0"/>
    <w:rsid w:val="003B6D42"/>
    <w:rsid w:val="003C1FF5"/>
    <w:rsid w:val="003E1C35"/>
    <w:rsid w:val="003E2365"/>
    <w:rsid w:val="00423EA6"/>
    <w:rsid w:val="00426CC9"/>
    <w:rsid w:val="00430FA7"/>
    <w:rsid w:val="00434FC4"/>
    <w:rsid w:val="00443506"/>
    <w:rsid w:val="00444E92"/>
    <w:rsid w:val="00447123"/>
    <w:rsid w:val="00450065"/>
    <w:rsid w:val="00453657"/>
    <w:rsid w:val="0045538B"/>
    <w:rsid w:val="004600C9"/>
    <w:rsid w:val="00462881"/>
    <w:rsid w:val="004670C4"/>
    <w:rsid w:val="00467EA6"/>
    <w:rsid w:val="0047036D"/>
    <w:rsid w:val="004718BE"/>
    <w:rsid w:val="00483211"/>
    <w:rsid w:val="004965CA"/>
    <w:rsid w:val="00496D71"/>
    <w:rsid w:val="004B0B81"/>
    <w:rsid w:val="004C03AD"/>
    <w:rsid w:val="004C04B8"/>
    <w:rsid w:val="004C7945"/>
    <w:rsid w:val="004D368C"/>
    <w:rsid w:val="004E5711"/>
    <w:rsid w:val="004E69A5"/>
    <w:rsid w:val="004E75FC"/>
    <w:rsid w:val="004F407A"/>
    <w:rsid w:val="00503893"/>
    <w:rsid w:val="00516038"/>
    <w:rsid w:val="00516C6F"/>
    <w:rsid w:val="005170A2"/>
    <w:rsid w:val="00522FF6"/>
    <w:rsid w:val="005238E4"/>
    <w:rsid w:val="005337F7"/>
    <w:rsid w:val="00540D03"/>
    <w:rsid w:val="005427F2"/>
    <w:rsid w:val="0055375F"/>
    <w:rsid w:val="00560DFE"/>
    <w:rsid w:val="00565E6F"/>
    <w:rsid w:val="0057767B"/>
    <w:rsid w:val="00584D40"/>
    <w:rsid w:val="00585C1F"/>
    <w:rsid w:val="00590795"/>
    <w:rsid w:val="00591265"/>
    <w:rsid w:val="00594AA0"/>
    <w:rsid w:val="00595E27"/>
    <w:rsid w:val="005A13B9"/>
    <w:rsid w:val="005B4857"/>
    <w:rsid w:val="005C02E5"/>
    <w:rsid w:val="005C0F28"/>
    <w:rsid w:val="005C55F0"/>
    <w:rsid w:val="005D1F3F"/>
    <w:rsid w:val="005D4556"/>
    <w:rsid w:val="005D6D6C"/>
    <w:rsid w:val="005F5FFD"/>
    <w:rsid w:val="00602F51"/>
    <w:rsid w:val="006059A0"/>
    <w:rsid w:val="006071CF"/>
    <w:rsid w:val="006259C8"/>
    <w:rsid w:val="00625B05"/>
    <w:rsid w:val="006271B8"/>
    <w:rsid w:val="00635F8C"/>
    <w:rsid w:val="00653AA0"/>
    <w:rsid w:val="00664224"/>
    <w:rsid w:val="00664CB6"/>
    <w:rsid w:val="00675B88"/>
    <w:rsid w:val="00676957"/>
    <w:rsid w:val="00677715"/>
    <w:rsid w:val="00696812"/>
    <w:rsid w:val="006A1EB5"/>
    <w:rsid w:val="006C4EB2"/>
    <w:rsid w:val="006C5125"/>
    <w:rsid w:val="006C63E3"/>
    <w:rsid w:val="006E3CC5"/>
    <w:rsid w:val="006E6CDF"/>
    <w:rsid w:val="006F1CA1"/>
    <w:rsid w:val="006F3A2D"/>
    <w:rsid w:val="007311C0"/>
    <w:rsid w:val="00744383"/>
    <w:rsid w:val="007546AE"/>
    <w:rsid w:val="00771CEB"/>
    <w:rsid w:val="00774C6A"/>
    <w:rsid w:val="00780F6B"/>
    <w:rsid w:val="00785FF3"/>
    <w:rsid w:val="00790326"/>
    <w:rsid w:val="00795424"/>
    <w:rsid w:val="007A12F9"/>
    <w:rsid w:val="007D1CA0"/>
    <w:rsid w:val="007D2F0F"/>
    <w:rsid w:val="007D31F8"/>
    <w:rsid w:val="007D4262"/>
    <w:rsid w:val="007D5B0E"/>
    <w:rsid w:val="007E11F2"/>
    <w:rsid w:val="007E4867"/>
    <w:rsid w:val="007E4E2F"/>
    <w:rsid w:val="007E543D"/>
    <w:rsid w:val="007F3063"/>
    <w:rsid w:val="007F4A52"/>
    <w:rsid w:val="007F5D84"/>
    <w:rsid w:val="0080104A"/>
    <w:rsid w:val="00802727"/>
    <w:rsid w:val="0080555E"/>
    <w:rsid w:val="00805E49"/>
    <w:rsid w:val="00811D46"/>
    <w:rsid w:val="00812645"/>
    <w:rsid w:val="00814343"/>
    <w:rsid w:val="0083017D"/>
    <w:rsid w:val="008334D5"/>
    <w:rsid w:val="00840C27"/>
    <w:rsid w:val="00842385"/>
    <w:rsid w:val="008522FC"/>
    <w:rsid w:val="00855EB1"/>
    <w:rsid w:val="00860277"/>
    <w:rsid w:val="0087468A"/>
    <w:rsid w:val="00875727"/>
    <w:rsid w:val="00885F60"/>
    <w:rsid w:val="00893BBA"/>
    <w:rsid w:val="00896480"/>
    <w:rsid w:val="0089743E"/>
    <w:rsid w:val="00897DFF"/>
    <w:rsid w:val="008A2292"/>
    <w:rsid w:val="008B4282"/>
    <w:rsid w:val="008D2EB7"/>
    <w:rsid w:val="008D3596"/>
    <w:rsid w:val="00904993"/>
    <w:rsid w:val="00913673"/>
    <w:rsid w:val="00914027"/>
    <w:rsid w:val="009141CE"/>
    <w:rsid w:val="00914DFC"/>
    <w:rsid w:val="00923247"/>
    <w:rsid w:val="0092547A"/>
    <w:rsid w:val="009310B2"/>
    <w:rsid w:val="00941CA0"/>
    <w:rsid w:val="009445F6"/>
    <w:rsid w:val="00953EBE"/>
    <w:rsid w:val="00954B2F"/>
    <w:rsid w:val="00960E8A"/>
    <w:rsid w:val="00970A24"/>
    <w:rsid w:val="0097377E"/>
    <w:rsid w:val="009756B5"/>
    <w:rsid w:val="00977904"/>
    <w:rsid w:val="00995FA0"/>
    <w:rsid w:val="009A47C3"/>
    <w:rsid w:val="009A59D8"/>
    <w:rsid w:val="009B03D6"/>
    <w:rsid w:val="009B7B90"/>
    <w:rsid w:val="009D27EF"/>
    <w:rsid w:val="009D4CFF"/>
    <w:rsid w:val="009D6F37"/>
    <w:rsid w:val="009E3F03"/>
    <w:rsid w:val="009E717E"/>
    <w:rsid w:val="009F14B6"/>
    <w:rsid w:val="00A13213"/>
    <w:rsid w:val="00A15C70"/>
    <w:rsid w:val="00A336F3"/>
    <w:rsid w:val="00A35F72"/>
    <w:rsid w:val="00A46095"/>
    <w:rsid w:val="00A56317"/>
    <w:rsid w:val="00A619D3"/>
    <w:rsid w:val="00A6655E"/>
    <w:rsid w:val="00A75781"/>
    <w:rsid w:val="00A77667"/>
    <w:rsid w:val="00A92404"/>
    <w:rsid w:val="00A92EA3"/>
    <w:rsid w:val="00A95344"/>
    <w:rsid w:val="00AA16B6"/>
    <w:rsid w:val="00AA3D7B"/>
    <w:rsid w:val="00AA49B6"/>
    <w:rsid w:val="00AB10FC"/>
    <w:rsid w:val="00AB74EB"/>
    <w:rsid w:val="00AC56C3"/>
    <w:rsid w:val="00AE25F2"/>
    <w:rsid w:val="00AF08A1"/>
    <w:rsid w:val="00AF66FB"/>
    <w:rsid w:val="00B418F9"/>
    <w:rsid w:val="00B42BB7"/>
    <w:rsid w:val="00B44427"/>
    <w:rsid w:val="00B45D97"/>
    <w:rsid w:val="00B46A29"/>
    <w:rsid w:val="00B51884"/>
    <w:rsid w:val="00B54B25"/>
    <w:rsid w:val="00B5741E"/>
    <w:rsid w:val="00B62B63"/>
    <w:rsid w:val="00B66123"/>
    <w:rsid w:val="00B66C27"/>
    <w:rsid w:val="00B70575"/>
    <w:rsid w:val="00B70E92"/>
    <w:rsid w:val="00B718E5"/>
    <w:rsid w:val="00B9365A"/>
    <w:rsid w:val="00B97651"/>
    <w:rsid w:val="00BA1A61"/>
    <w:rsid w:val="00BA5C5B"/>
    <w:rsid w:val="00BA6E7D"/>
    <w:rsid w:val="00BB18B8"/>
    <w:rsid w:val="00BB72EF"/>
    <w:rsid w:val="00BC1289"/>
    <w:rsid w:val="00BC38E0"/>
    <w:rsid w:val="00BC58C7"/>
    <w:rsid w:val="00BD22CA"/>
    <w:rsid w:val="00BD7527"/>
    <w:rsid w:val="00BE7416"/>
    <w:rsid w:val="00BE7FE8"/>
    <w:rsid w:val="00BF00C2"/>
    <w:rsid w:val="00BF0BBB"/>
    <w:rsid w:val="00C00642"/>
    <w:rsid w:val="00C00B0A"/>
    <w:rsid w:val="00C05386"/>
    <w:rsid w:val="00C06D62"/>
    <w:rsid w:val="00C12D38"/>
    <w:rsid w:val="00C20B8F"/>
    <w:rsid w:val="00C210D5"/>
    <w:rsid w:val="00C27300"/>
    <w:rsid w:val="00C343F6"/>
    <w:rsid w:val="00C34483"/>
    <w:rsid w:val="00C34DC1"/>
    <w:rsid w:val="00C5019C"/>
    <w:rsid w:val="00C648C3"/>
    <w:rsid w:val="00C750DF"/>
    <w:rsid w:val="00C75C84"/>
    <w:rsid w:val="00C82758"/>
    <w:rsid w:val="00C82927"/>
    <w:rsid w:val="00C85647"/>
    <w:rsid w:val="00C85BD1"/>
    <w:rsid w:val="00C86460"/>
    <w:rsid w:val="00CB0543"/>
    <w:rsid w:val="00CB3AE9"/>
    <w:rsid w:val="00CB7524"/>
    <w:rsid w:val="00CB7A75"/>
    <w:rsid w:val="00CC1BD8"/>
    <w:rsid w:val="00CC2DD7"/>
    <w:rsid w:val="00CE28BE"/>
    <w:rsid w:val="00CE73D7"/>
    <w:rsid w:val="00CF061C"/>
    <w:rsid w:val="00CF1333"/>
    <w:rsid w:val="00CF3754"/>
    <w:rsid w:val="00CF6766"/>
    <w:rsid w:val="00D010BD"/>
    <w:rsid w:val="00D0581A"/>
    <w:rsid w:val="00D1131D"/>
    <w:rsid w:val="00D1333E"/>
    <w:rsid w:val="00D15B85"/>
    <w:rsid w:val="00D22324"/>
    <w:rsid w:val="00D2483E"/>
    <w:rsid w:val="00D41EFD"/>
    <w:rsid w:val="00D421B3"/>
    <w:rsid w:val="00D57F0D"/>
    <w:rsid w:val="00D62E6C"/>
    <w:rsid w:val="00D807C2"/>
    <w:rsid w:val="00D855B1"/>
    <w:rsid w:val="00D943A9"/>
    <w:rsid w:val="00D95A5F"/>
    <w:rsid w:val="00DA4234"/>
    <w:rsid w:val="00DA635D"/>
    <w:rsid w:val="00DB082C"/>
    <w:rsid w:val="00DB0D80"/>
    <w:rsid w:val="00DB67E7"/>
    <w:rsid w:val="00DC2A4F"/>
    <w:rsid w:val="00DC502D"/>
    <w:rsid w:val="00DD0023"/>
    <w:rsid w:val="00DE1F72"/>
    <w:rsid w:val="00DF1D03"/>
    <w:rsid w:val="00E01E2A"/>
    <w:rsid w:val="00E025E3"/>
    <w:rsid w:val="00E036D6"/>
    <w:rsid w:val="00E15B7F"/>
    <w:rsid w:val="00E174C6"/>
    <w:rsid w:val="00E325DE"/>
    <w:rsid w:val="00E3298A"/>
    <w:rsid w:val="00E43C2E"/>
    <w:rsid w:val="00E55080"/>
    <w:rsid w:val="00E66A63"/>
    <w:rsid w:val="00E83D8C"/>
    <w:rsid w:val="00E853B8"/>
    <w:rsid w:val="00E925EB"/>
    <w:rsid w:val="00E94D28"/>
    <w:rsid w:val="00E959BE"/>
    <w:rsid w:val="00EB1B88"/>
    <w:rsid w:val="00EE1C48"/>
    <w:rsid w:val="00F02738"/>
    <w:rsid w:val="00F10CCF"/>
    <w:rsid w:val="00F11607"/>
    <w:rsid w:val="00F15744"/>
    <w:rsid w:val="00F243F1"/>
    <w:rsid w:val="00F24733"/>
    <w:rsid w:val="00F37C0E"/>
    <w:rsid w:val="00F70C1B"/>
    <w:rsid w:val="00F71483"/>
    <w:rsid w:val="00F738C3"/>
    <w:rsid w:val="00F770DD"/>
    <w:rsid w:val="00F8337F"/>
    <w:rsid w:val="00F87197"/>
    <w:rsid w:val="00F93516"/>
    <w:rsid w:val="00F95665"/>
    <w:rsid w:val="00FB306A"/>
    <w:rsid w:val="00FC44AE"/>
    <w:rsid w:val="00FE5048"/>
    <w:rsid w:val="00FE6DDF"/>
    <w:rsid w:val="00FE74D9"/>
    <w:rsid w:val="00FF08EC"/>
    <w:rsid w:val="00FF2E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25FCD"/>
  <w15:docId w15:val="{C3D7759E-3ED6-492F-8493-CE66C9D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CI-Normal"/>
    <w:qFormat/>
    <w:rsid w:val="009F14B6"/>
    <w:pPr>
      <w:spacing w:after="200" w:line="252" w:lineRule="auto"/>
    </w:pPr>
    <w:rPr>
      <w:rFonts w:ascii="Cambria" w:eastAsia="Times New Roman" w:hAnsi="Cambria" w:cs="Times New Roman"/>
      <w:lang w:eastAsia="fr-FR"/>
    </w:rPr>
  </w:style>
  <w:style w:type="paragraph" w:styleId="Titre1">
    <w:name w:val="heading 1"/>
    <w:basedOn w:val="Normal"/>
    <w:next w:val="Normal"/>
    <w:link w:val="Titre1Car"/>
    <w:uiPriority w:val="9"/>
    <w:qFormat/>
    <w:rsid w:val="00C64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7311C0"/>
    <w:pPr>
      <w:keepNext/>
      <w:keepLines/>
      <w:numPr>
        <w:numId w:val="13"/>
      </w:numPr>
      <w:spacing w:before="200" w:after="240"/>
      <w:outlineLvl w:val="1"/>
    </w:pPr>
    <w:rPr>
      <w:rFonts w:ascii="Rockwell" w:eastAsiaTheme="majorEastAsia" w:hAnsi="Rockwell" w:cstheme="majorBidi"/>
      <w:b/>
      <w:bCs/>
      <w:sz w:val="24"/>
      <w:szCs w:val="26"/>
    </w:rPr>
  </w:style>
  <w:style w:type="paragraph" w:styleId="Titre4">
    <w:name w:val="heading 4"/>
    <w:aliases w:val="Centred,Cen."/>
    <w:basedOn w:val="Normal"/>
    <w:next w:val="Normal"/>
    <w:link w:val="Titre4Car"/>
    <w:unhideWhenUsed/>
    <w:qFormat/>
    <w:rsid w:val="005F5FFD"/>
    <w:pPr>
      <w:pBdr>
        <w:bottom w:val="dotted" w:sz="4" w:space="1" w:color="943634"/>
      </w:pBdr>
      <w:spacing w:after="120"/>
      <w:jc w:val="center"/>
      <w:outlineLvl w:val="3"/>
    </w:pPr>
    <w:rPr>
      <w:caps/>
      <w:color w:val="622423"/>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Centred Car,Cen. Car"/>
    <w:basedOn w:val="Policepardfaut"/>
    <w:link w:val="Titre4"/>
    <w:rsid w:val="005F5FFD"/>
    <w:rPr>
      <w:rFonts w:ascii="Cambria" w:eastAsia="Times New Roman" w:hAnsi="Cambria" w:cs="Times New Roman"/>
      <w:caps/>
      <w:color w:val="622423"/>
      <w:spacing w:val="10"/>
      <w:lang w:eastAsia="fr-FR"/>
    </w:rPr>
  </w:style>
  <w:style w:type="paragraph" w:styleId="Pieddepage">
    <w:name w:val="footer"/>
    <w:basedOn w:val="Normal"/>
    <w:link w:val="PieddepageCar"/>
    <w:uiPriority w:val="99"/>
    <w:unhideWhenUsed/>
    <w:qFormat/>
    <w:rsid w:val="005F5FFD"/>
    <w:pPr>
      <w:tabs>
        <w:tab w:val="center" w:pos="4536"/>
        <w:tab w:val="right" w:pos="9072"/>
      </w:tabs>
    </w:pPr>
    <w:rPr>
      <w:lang w:val="x-none" w:eastAsia="x-none"/>
    </w:rPr>
  </w:style>
  <w:style w:type="character" w:customStyle="1" w:styleId="PieddepageCar">
    <w:name w:val="Pied de page Car"/>
    <w:basedOn w:val="Policepardfaut"/>
    <w:link w:val="Pieddepage"/>
    <w:uiPriority w:val="99"/>
    <w:qFormat/>
    <w:rsid w:val="005F5FFD"/>
    <w:rPr>
      <w:rFonts w:ascii="Cambria" w:eastAsia="Times New Roman" w:hAnsi="Cambria" w:cs="Times New Roman"/>
      <w:lang w:val="x-none" w:eastAsia="x-none"/>
    </w:rPr>
  </w:style>
  <w:style w:type="paragraph" w:styleId="Sansinterligne">
    <w:name w:val="No Spacing"/>
    <w:basedOn w:val="Normal"/>
    <w:link w:val="SansinterligneCar"/>
    <w:uiPriority w:val="1"/>
    <w:qFormat/>
    <w:rsid w:val="005F5FFD"/>
    <w:pPr>
      <w:spacing w:after="0" w:line="240" w:lineRule="auto"/>
    </w:pPr>
  </w:style>
  <w:style w:type="character" w:customStyle="1" w:styleId="SansinterligneCar">
    <w:name w:val="Sans interligne Car"/>
    <w:link w:val="Sansinterligne"/>
    <w:uiPriority w:val="1"/>
    <w:rsid w:val="005F5FFD"/>
    <w:rPr>
      <w:rFonts w:ascii="Cambria" w:eastAsia="Times New Roman" w:hAnsi="Cambria" w:cs="Times New Roman"/>
      <w:lang w:eastAsia="fr-FR"/>
    </w:rPr>
  </w:style>
  <w:style w:type="paragraph" w:styleId="En-tte">
    <w:name w:val="header"/>
    <w:basedOn w:val="Normal"/>
    <w:link w:val="En-tteCar"/>
    <w:uiPriority w:val="99"/>
    <w:unhideWhenUsed/>
    <w:rsid w:val="001D6A69"/>
    <w:pPr>
      <w:tabs>
        <w:tab w:val="center" w:pos="4536"/>
        <w:tab w:val="right" w:pos="9072"/>
      </w:tabs>
      <w:spacing w:after="0" w:line="240" w:lineRule="auto"/>
    </w:pPr>
  </w:style>
  <w:style w:type="character" w:customStyle="1" w:styleId="En-tteCar">
    <w:name w:val="En-tête Car"/>
    <w:basedOn w:val="Policepardfaut"/>
    <w:link w:val="En-tte"/>
    <w:uiPriority w:val="99"/>
    <w:rsid w:val="001D6A69"/>
    <w:rPr>
      <w:rFonts w:ascii="Cambria" w:eastAsia="Times New Roman" w:hAnsi="Cambria" w:cs="Times New Roman"/>
      <w:lang w:eastAsia="fr-FR"/>
    </w:rPr>
  </w:style>
  <w:style w:type="character" w:customStyle="1" w:styleId="Titre1Car">
    <w:name w:val="Titre 1 Car"/>
    <w:basedOn w:val="Policepardfaut"/>
    <w:link w:val="Titre1"/>
    <w:uiPriority w:val="9"/>
    <w:rsid w:val="00C648C3"/>
    <w:rPr>
      <w:rFonts w:asciiTheme="majorHAnsi" w:eastAsiaTheme="majorEastAsia" w:hAnsiTheme="majorHAnsi" w:cstheme="majorBidi"/>
      <w:color w:val="2E74B5" w:themeColor="accent1" w:themeShade="BF"/>
      <w:sz w:val="32"/>
      <w:szCs w:val="32"/>
      <w:lang w:eastAsia="fr-FR"/>
    </w:rPr>
  </w:style>
  <w:style w:type="paragraph" w:styleId="Paragraphedeliste">
    <w:name w:val="List Paragraph"/>
    <w:aliases w:val="L_4,References,Bullets,Numbered List Paragraph,ReferencesCxSpLast,List Bullet Mary,List Paragraph (numbered (a)),Liste 1,Bullet Answer,List Paragraph11,IFCL - List Paragraph,Paragraphe de liste11,texte,Glossaire,Paragraphe 2,Titre1"/>
    <w:basedOn w:val="Normal"/>
    <w:link w:val="ParagraphedelisteCar"/>
    <w:uiPriority w:val="34"/>
    <w:qFormat/>
    <w:rsid w:val="00287A3F"/>
    <w:pPr>
      <w:spacing w:before="120" w:after="0" w:line="276" w:lineRule="auto"/>
      <w:ind w:left="720"/>
      <w:contextualSpacing/>
      <w:jc w:val="both"/>
    </w:pPr>
    <w:rPr>
      <w:rFonts w:ascii="Times New Roman" w:eastAsia="Calibri" w:hAnsi="Times New Roman"/>
      <w:sz w:val="24"/>
      <w:szCs w:val="24"/>
      <w:lang w:eastAsia="en-US"/>
    </w:rPr>
  </w:style>
  <w:style w:type="character" w:customStyle="1" w:styleId="ParagraphedelisteCar">
    <w:name w:val="Paragraphe de liste Car"/>
    <w:aliases w:val="L_4 Car,References Car,Bullets Car,Numbered List Paragraph Car,ReferencesCxSpLast Car,List Bullet Mary Car,List Paragraph (numbered (a)) Car,Liste 1 Car,Bullet Answer Car,List Paragraph11 Car,IFCL - List Paragraph Car,texte Car"/>
    <w:link w:val="Paragraphedeliste"/>
    <w:uiPriority w:val="34"/>
    <w:qFormat/>
    <w:locked/>
    <w:rsid w:val="00287A3F"/>
    <w:rPr>
      <w:rFonts w:ascii="Times New Roman" w:eastAsia="Calibri" w:hAnsi="Times New Roman" w:cs="Times New Roman"/>
      <w:sz w:val="24"/>
      <w:szCs w:val="24"/>
    </w:rPr>
  </w:style>
  <w:style w:type="character" w:styleId="Marquedecommentaire">
    <w:name w:val="annotation reference"/>
    <w:basedOn w:val="Policepardfaut"/>
    <w:uiPriority w:val="99"/>
    <w:semiHidden/>
    <w:unhideWhenUsed/>
    <w:rsid w:val="00A56317"/>
    <w:rPr>
      <w:sz w:val="16"/>
      <w:szCs w:val="16"/>
    </w:rPr>
  </w:style>
  <w:style w:type="paragraph" w:styleId="Commentaire">
    <w:name w:val="annotation text"/>
    <w:basedOn w:val="Normal"/>
    <w:link w:val="CommentaireCar"/>
    <w:uiPriority w:val="99"/>
    <w:semiHidden/>
    <w:unhideWhenUsed/>
    <w:rsid w:val="00A56317"/>
    <w:pPr>
      <w:spacing w:line="240" w:lineRule="auto"/>
    </w:pPr>
    <w:rPr>
      <w:sz w:val="20"/>
      <w:szCs w:val="20"/>
    </w:rPr>
  </w:style>
  <w:style w:type="character" w:customStyle="1" w:styleId="CommentaireCar">
    <w:name w:val="Commentaire Car"/>
    <w:basedOn w:val="Policepardfaut"/>
    <w:link w:val="Commentaire"/>
    <w:uiPriority w:val="99"/>
    <w:semiHidden/>
    <w:rsid w:val="00A56317"/>
    <w:rPr>
      <w:rFonts w:ascii="Cambria" w:eastAsia="Times New Roman"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6317"/>
    <w:rPr>
      <w:b/>
      <w:bCs/>
    </w:rPr>
  </w:style>
  <w:style w:type="character" w:customStyle="1" w:styleId="ObjetducommentaireCar">
    <w:name w:val="Objet du commentaire Car"/>
    <w:basedOn w:val="CommentaireCar"/>
    <w:link w:val="Objetducommentaire"/>
    <w:uiPriority w:val="99"/>
    <w:semiHidden/>
    <w:rsid w:val="00A56317"/>
    <w:rPr>
      <w:rFonts w:ascii="Cambria" w:eastAsia="Times New Roman" w:hAnsi="Cambria" w:cs="Times New Roman"/>
      <w:b/>
      <w:bCs/>
      <w:sz w:val="20"/>
      <w:szCs w:val="20"/>
      <w:lang w:eastAsia="fr-FR"/>
    </w:rPr>
  </w:style>
  <w:style w:type="paragraph" w:styleId="Textedebulles">
    <w:name w:val="Balloon Text"/>
    <w:basedOn w:val="Normal"/>
    <w:link w:val="TextedebullesCar"/>
    <w:uiPriority w:val="99"/>
    <w:semiHidden/>
    <w:unhideWhenUsed/>
    <w:rsid w:val="00A563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317"/>
    <w:rPr>
      <w:rFonts w:ascii="Segoe UI" w:eastAsia="Times New Roman" w:hAnsi="Segoe UI" w:cs="Segoe UI"/>
      <w:sz w:val="18"/>
      <w:szCs w:val="18"/>
      <w:lang w:eastAsia="fr-FR"/>
    </w:rPr>
  </w:style>
  <w:style w:type="table" w:styleId="Grilledutableau">
    <w:name w:val="Table Grid"/>
    <w:basedOn w:val="TableauNormal"/>
    <w:uiPriority w:val="39"/>
    <w:rsid w:val="00E9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25B05"/>
    <w:pPr>
      <w:spacing w:after="0" w:line="240" w:lineRule="auto"/>
    </w:pPr>
    <w:rPr>
      <w:rFonts w:ascii="Cambria" w:eastAsia="Times New Roman" w:hAnsi="Cambria" w:cs="Times New Roman"/>
      <w:lang w:eastAsia="fr-FR"/>
    </w:rPr>
  </w:style>
  <w:style w:type="paragraph" w:customStyle="1" w:styleId="yiv0755172618ydp15570fd8msonormal">
    <w:name w:val="yiv0755172618ydp15570fd8msonormal"/>
    <w:basedOn w:val="Normal"/>
    <w:rsid w:val="00C20B8F"/>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Policepardfaut"/>
    <w:rsid w:val="00C20B8F"/>
  </w:style>
  <w:style w:type="paragraph" w:customStyle="1" w:styleId="Default">
    <w:name w:val="Default"/>
    <w:rsid w:val="00C20B8F"/>
    <w:pPr>
      <w:autoSpaceDE w:val="0"/>
      <w:autoSpaceDN w:val="0"/>
      <w:adjustRightInd w:val="0"/>
      <w:spacing w:after="0" w:line="240" w:lineRule="auto"/>
    </w:pPr>
    <w:rPr>
      <w:rFonts w:ascii="Calibri" w:hAnsi="Calibri" w:cs="Calibri"/>
      <w:color w:val="000000"/>
      <w:sz w:val="24"/>
      <w:szCs w:val="24"/>
      <w:lang w:val="en-US"/>
    </w:rPr>
  </w:style>
  <w:style w:type="paragraph" w:styleId="En-ttedetabledesmatires">
    <w:name w:val="TOC Heading"/>
    <w:basedOn w:val="Titre1"/>
    <w:next w:val="Normal"/>
    <w:uiPriority w:val="39"/>
    <w:unhideWhenUsed/>
    <w:qFormat/>
    <w:rsid w:val="00BC38E0"/>
    <w:pPr>
      <w:spacing w:line="259" w:lineRule="auto"/>
      <w:outlineLvl w:val="9"/>
    </w:pPr>
  </w:style>
  <w:style w:type="paragraph" w:styleId="TM1">
    <w:name w:val="toc 1"/>
    <w:basedOn w:val="Normal"/>
    <w:next w:val="Normal"/>
    <w:autoRedefine/>
    <w:uiPriority w:val="39"/>
    <w:unhideWhenUsed/>
    <w:rsid w:val="0016442A"/>
    <w:pPr>
      <w:tabs>
        <w:tab w:val="left" w:pos="660"/>
        <w:tab w:val="right" w:leader="dot" w:pos="9062"/>
      </w:tabs>
      <w:spacing w:before="120" w:after="120"/>
    </w:pPr>
    <w:rPr>
      <w:rFonts w:ascii="Rockwell" w:eastAsia="Calibri" w:hAnsi="Rockwell"/>
      <w:b/>
      <w:bCs/>
      <w:caps/>
      <w:noProof/>
      <w:sz w:val="18"/>
      <w:szCs w:val="20"/>
    </w:rPr>
  </w:style>
  <w:style w:type="character" w:styleId="Lienhypertexte">
    <w:name w:val="Hyperlink"/>
    <w:basedOn w:val="Policepardfaut"/>
    <w:uiPriority w:val="99"/>
    <w:unhideWhenUsed/>
    <w:rsid w:val="00BC38E0"/>
    <w:rPr>
      <w:color w:val="0563C1" w:themeColor="hyperlink"/>
      <w:u w:val="single"/>
    </w:rPr>
  </w:style>
  <w:style w:type="paragraph" w:styleId="TM2">
    <w:name w:val="toc 2"/>
    <w:basedOn w:val="Normal"/>
    <w:next w:val="Normal"/>
    <w:autoRedefine/>
    <w:uiPriority w:val="39"/>
    <w:unhideWhenUsed/>
    <w:rsid w:val="0045538B"/>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45538B"/>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45538B"/>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45538B"/>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45538B"/>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45538B"/>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45538B"/>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45538B"/>
    <w:pPr>
      <w:spacing w:after="0"/>
      <w:ind w:left="1760"/>
    </w:pPr>
    <w:rPr>
      <w:rFonts w:asciiTheme="minorHAnsi" w:hAnsiTheme="minorHAnsi" w:cstheme="minorHAnsi"/>
      <w:sz w:val="18"/>
      <w:szCs w:val="18"/>
    </w:rPr>
  </w:style>
  <w:style w:type="character" w:customStyle="1" w:styleId="Titre2Car">
    <w:name w:val="Titre 2 Car"/>
    <w:basedOn w:val="Policepardfaut"/>
    <w:link w:val="Titre2"/>
    <w:uiPriority w:val="9"/>
    <w:rsid w:val="007311C0"/>
    <w:rPr>
      <w:rFonts w:ascii="Rockwell" w:eastAsiaTheme="majorEastAsia" w:hAnsi="Rockwell" w:cstheme="majorBidi"/>
      <w:b/>
      <w:bCs/>
      <w:sz w:val="24"/>
      <w:szCs w:val="26"/>
      <w:lang w:eastAsia="fr-FR"/>
    </w:rPr>
  </w:style>
  <w:style w:type="paragraph" w:styleId="Lgende">
    <w:name w:val="caption"/>
    <w:basedOn w:val="Normal"/>
    <w:next w:val="Normal"/>
    <w:uiPriority w:val="35"/>
    <w:unhideWhenUsed/>
    <w:qFormat/>
    <w:rsid w:val="005B485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7178">
      <w:bodyDiv w:val="1"/>
      <w:marLeft w:val="0"/>
      <w:marRight w:val="0"/>
      <w:marTop w:val="0"/>
      <w:marBottom w:val="0"/>
      <w:divBdr>
        <w:top w:val="none" w:sz="0" w:space="0" w:color="auto"/>
        <w:left w:val="none" w:sz="0" w:space="0" w:color="auto"/>
        <w:bottom w:val="none" w:sz="0" w:space="0" w:color="auto"/>
        <w:right w:val="none" w:sz="0" w:space="0" w:color="auto"/>
      </w:divBdr>
    </w:div>
    <w:div w:id="1038747998">
      <w:bodyDiv w:val="1"/>
      <w:marLeft w:val="0"/>
      <w:marRight w:val="0"/>
      <w:marTop w:val="0"/>
      <w:marBottom w:val="0"/>
      <w:divBdr>
        <w:top w:val="none" w:sz="0" w:space="0" w:color="auto"/>
        <w:left w:val="none" w:sz="0" w:space="0" w:color="auto"/>
        <w:bottom w:val="none" w:sz="0" w:space="0" w:color="auto"/>
        <w:right w:val="none" w:sz="0" w:space="0" w:color="auto"/>
      </w:divBdr>
    </w:div>
    <w:div w:id="1294099217">
      <w:bodyDiv w:val="1"/>
      <w:marLeft w:val="0"/>
      <w:marRight w:val="0"/>
      <w:marTop w:val="0"/>
      <w:marBottom w:val="0"/>
      <w:divBdr>
        <w:top w:val="none" w:sz="0" w:space="0" w:color="auto"/>
        <w:left w:val="none" w:sz="0" w:space="0" w:color="auto"/>
        <w:bottom w:val="none" w:sz="0" w:space="0" w:color="auto"/>
        <w:right w:val="none" w:sz="0" w:space="0" w:color="auto"/>
      </w:divBdr>
    </w:div>
    <w:div w:id="1737702499">
      <w:bodyDiv w:val="1"/>
      <w:marLeft w:val="0"/>
      <w:marRight w:val="0"/>
      <w:marTop w:val="0"/>
      <w:marBottom w:val="0"/>
      <w:divBdr>
        <w:top w:val="none" w:sz="0" w:space="0" w:color="auto"/>
        <w:left w:val="none" w:sz="0" w:space="0" w:color="auto"/>
        <w:bottom w:val="none" w:sz="0" w:space="0" w:color="auto"/>
        <w:right w:val="none" w:sz="0" w:space="0" w:color="auto"/>
      </w:divBdr>
    </w:div>
    <w:div w:id="1767118422">
      <w:bodyDiv w:val="1"/>
      <w:marLeft w:val="0"/>
      <w:marRight w:val="0"/>
      <w:marTop w:val="0"/>
      <w:marBottom w:val="0"/>
      <w:divBdr>
        <w:top w:val="none" w:sz="0" w:space="0" w:color="auto"/>
        <w:left w:val="none" w:sz="0" w:space="0" w:color="auto"/>
        <w:bottom w:val="none" w:sz="0" w:space="0" w:color="auto"/>
        <w:right w:val="none" w:sz="0" w:space="0" w:color="auto"/>
      </w:divBdr>
    </w:div>
    <w:div w:id="1978534040">
      <w:bodyDiv w:val="1"/>
      <w:marLeft w:val="0"/>
      <w:marRight w:val="0"/>
      <w:marTop w:val="0"/>
      <w:marBottom w:val="0"/>
      <w:divBdr>
        <w:top w:val="none" w:sz="0" w:space="0" w:color="auto"/>
        <w:left w:val="none" w:sz="0" w:space="0" w:color="auto"/>
        <w:bottom w:val="none" w:sz="0" w:space="0" w:color="auto"/>
        <w:right w:val="none" w:sz="0" w:space="0" w:color="auto"/>
      </w:divBdr>
    </w:div>
    <w:div w:id="20026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DrT20</b:Tag>
    <b:SourceType>Report</b:SourceType>
    <b:Guid>{84E850B9-6B94-4881-8ECA-B3233BEACBA8}</b:Guid>
    <b:Author>
      <b:Author>
        <b:NameList>
          <b:Person>
            <b:Last>FAO</b:Last>
          </b:Person>
        </b:NameList>
      </b:Author>
    </b:Author>
    <b:Title>Analyse du système alimentaire du Burkina Faso</b:Title>
    <b:Year>2020</b:Year>
    <b:RefOrder>1</b:RefOrder>
  </b:Source>
</b:Sources>
</file>

<file path=customXml/itemProps1.xml><?xml version="1.0" encoding="utf-8"?>
<ds:datastoreItem xmlns:ds="http://schemas.openxmlformats.org/officeDocument/2006/customXml" ds:itemID="{8D1DBCE3-39BB-4C6F-B5B5-75E6A667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5912</Words>
  <Characters>32517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pc_DIME_DAEA</dc:creator>
  <cp:lastModifiedBy>Utilisateur</cp:lastModifiedBy>
  <cp:revision>2</cp:revision>
  <cp:lastPrinted>2021-09-06T19:02:00Z</cp:lastPrinted>
  <dcterms:created xsi:type="dcterms:W3CDTF">2021-09-10T13:05:00Z</dcterms:created>
  <dcterms:modified xsi:type="dcterms:W3CDTF">2021-09-10T13:05:00Z</dcterms:modified>
</cp:coreProperties>
</file>